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ascii="仿宋_GB2312" w:eastAsia="仿宋_GB2312"/>
          <w:sz w:val="32"/>
          <w:szCs w:val="32"/>
        </w:rPr>
      </w:pPr>
      <w:bookmarkStart w:id="17" w:name="_GoBack"/>
      <w:bookmarkEnd w:id="17"/>
    </w:p>
    <w:p>
      <w:pPr>
        <w:spacing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宁夏社会保险发展年度报告2021</w:t>
      </w:r>
    </w:p>
    <w:p>
      <w:pPr>
        <w:spacing w:line="600" w:lineRule="exact"/>
        <w:ind w:firstLine="640" w:firstLineChars="200"/>
        <w:rPr>
          <w:rFonts w:ascii="仿宋_GB2312" w:eastAsia="仿宋_GB2312"/>
          <w:kern w:val="32"/>
          <w:sz w:val="32"/>
          <w:szCs w:val="32"/>
        </w:rPr>
      </w:pPr>
    </w:p>
    <w:p>
      <w:pPr>
        <w:spacing w:line="560" w:lineRule="exact"/>
        <w:ind w:firstLine="640" w:firstLineChars="200"/>
        <w:rPr>
          <w:rFonts w:ascii="仿宋_GB2312" w:eastAsia="仿宋_GB2312"/>
          <w:color w:val="000000"/>
          <w:kern w:val="0"/>
          <w:sz w:val="32"/>
          <w:szCs w:val="32"/>
        </w:rPr>
      </w:pPr>
      <w:r>
        <w:rPr>
          <w:rFonts w:hint="eastAsia" w:ascii="仿宋_GB2312" w:eastAsia="仿宋_GB2312"/>
          <w:kern w:val="32"/>
          <w:sz w:val="32"/>
          <w:szCs w:val="32"/>
        </w:rPr>
        <w:t>根据《中华人民共和国社会保险法》《人力资源社会保障部关于进一步健全社会保险信息披露制度的通知》（人社部发</w:t>
      </w:r>
      <w:r>
        <w:rPr>
          <w:rFonts w:hint="eastAsia" w:ascii="仿宋_GB2312" w:eastAsia="仿宋_GB2312"/>
          <w:snapToGrid w:val="0"/>
          <w:kern w:val="32"/>
          <w:sz w:val="32"/>
          <w:szCs w:val="32"/>
        </w:rPr>
        <w:t>〔</w:t>
      </w:r>
      <w:r>
        <w:rPr>
          <w:rFonts w:hint="eastAsia" w:ascii="仿宋_GB2312" w:eastAsia="仿宋_GB2312"/>
          <w:kern w:val="32"/>
          <w:sz w:val="32"/>
          <w:szCs w:val="32"/>
        </w:rPr>
        <w:t>2014</w:t>
      </w:r>
      <w:r>
        <w:rPr>
          <w:rFonts w:hint="eastAsia" w:ascii="仿宋_GB2312" w:eastAsia="仿宋_GB2312"/>
          <w:snapToGrid w:val="0"/>
          <w:spacing w:val="-6"/>
          <w:kern w:val="32"/>
          <w:sz w:val="32"/>
          <w:szCs w:val="32"/>
        </w:rPr>
        <w:t>〕</w:t>
      </w:r>
      <w:r>
        <w:rPr>
          <w:rFonts w:hint="eastAsia" w:ascii="仿宋_GB2312" w:eastAsia="仿宋_GB2312"/>
          <w:kern w:val="32"/>
          <w:sz w:val="32"/>
          <w:szCs w:val="32"/>
        </w:rPr>
        <w:t xml:space="preserve"> 82号）和《宁夏回族自治区社会保险信息披露办法（试行）</w:t>
      </w:r>
      <w:r>
        <w:rPr>
          <w:rFonts w:hint="eastAsia" w:ascii="仿宋_GB2312" w:eastAsia="仿宋_GB2312"/>
          <w:sz w:val="32"/>
          <w:szCs w:val="32"/>
        </w:rPr>
        <w:t>》有关规定</w:t>
      </w:r>
      <w:r>
        <w:rPr>
          <w:rFonts w:hint="eastAsia" w:ascii="仿宋_GB2312" w:eastAsia="仿宋_GB2312"/>
          <w:kern w:val="32"/>
          <w:sz w:val="32"/>
          <w:szCs w:val="32"/>
        </w:rPr>
        <w:t>，现将宁夏2021年度社会保险信息披露如下：</w:t>
      </w:r>
    </w:p>
    <w:p>
      <w:pPr>
        <w:spacing w:line="600" w:lineRule="exact"/>
        <w:jc w:val="center"/>
        <w:rPr>
          <w:rFonts w:ascii="仿宋_GB2312" w:eastAsia="仿宋_GB2312"/>
          <w:color w:val="000000"/>
          <w:kern w:val="0"/>
          <w:sz w:val="44"/>
          <w:szCs w:val="44"/>
        </w:rPr>
      </w:pPr>
    </w:p>
    <w:p>
      <w:pPr>
        <w:spacing w:line="600" w:lineRule="exact"/>
        <w:jc w:val="center"/>
        <w:rPr>
          <w:rFonts w:ascii="黑体" w:hAnsi="黑体" w:eastAsia="黑体" w:cs="黑体"/>
          <w:color w:val="000000"/>
          <w:kern w:val="0"/>
          <w:sz w:val="32"/>
          <w:szCs w:val="32"/>
        </w:rPr>
      </w:pPr>
      <w:r>
        <w:rPr>
          <w:rFonts w:hint="eastAsia" w:ascii="黑体" w:hAnsi="黑体" w:eastAsia="黑体" w:cs="黑体"/>
          <w:color w:val="000000"/>
          <w:kern w:val="0"/>
          <w:sz w:val="32"/>
          <w:szCs w:val="32"/>
        </w:rPr>
        <w:t>第一部分</w:t>
      </w:r>
      <w:r>
        <w:rPr>
          <w:rFonts w:ascii="黑体" w:hAnsi="黑体" w:eastAsia="黑体" w:cs="黑体"/>
          <w:color w:val="000000"/>
          <w:kern w:val="0"/>
          <w:sz w:val="32"/>
          <w:szCs w:val="32"/>
        </w:rPr>
        <w:t xml:space="preserve">   </w:t>
      </w:r>
      <w:r>
        <w:rPr>
          <w:rFonts w:hint="eastAsia" w:ascii="黑体" w:hAnsi="黑体" w:eastAsia="黑体" w:cs="黑体"/>
          <w:color w:val="000000"/>
          <w:kern w:val="0"/>
          <w:sz w:val="32"/>
          <w:szCs w:val="32"/>
        </w:rPr>
        <w:t>基本养老保险</w:t>
      </w:r>
    </w:p>
    <w:p>
      <w:pPr>
        <w:autoSpaceDE w:val="0"/>
        <w:autoSpaceDN w:val="0"/>
        <w:adjustRightInd w:val="0"/>
        <w:spacing w:line="600" w:lineRule="exact"/>
        <w:ind w:firstLine="707" w:firstLineChars="221"/>
        <w:rPr>
          <w:rFonts w:ascii="仿宋_GB2312" w:eastAsia="仿宋_GB2312"/>
          <w:color w:val="000000"/>
          <w:kern w:val="0"/>
          <w:sz w:val="32"/>
          <w:szCs w:val="32"/>
        </w:rPr>
      </w:pPr>
    </w:p>
    <w:p>
      <w:pPr>
        <w:autoSpaceDE w:val="0"/>
        <w:autoSpaceDN w:val="0"/>
        <w:adjustRightInd w:val="0"/>
        <w:spacing w:line="560" w:lineRule="exact"/>
        <w:ind w:firstLine="640" w:firstLineChars="200"/>
        <w:rPr>
          <w:rFonts w:ascii="黑体" w:hAnsi="黑体" w:eastAsia="黑体"/>
          <w:color w:val="000000"/>
          <w:kern w:val="0"/>
          <w:sz w:val="32"/>
          <w:szCs w:val="32"/>
        </w:rPr>
      </w:pPr>
      <w:r>
        <w:rPr>
          <w:rFonts w:hint="eastAsia" w:ascii="黑体" w:hAnsi="黑体" w:eastAsia="黑体"/>
          <w:color w:val="000000"/>
          <w:kern w:val="0"/>
          <w:sz w:val="32"/>
          <w:szCs w:val="32"/>
        </w:rPr>
        <w:t>一、城镇企业职工基本养老保险</w:t>
      </w:r>
    </w:p>
    <w:p>
      <w:pPr>
        <w:spacing w:line="600" w:lineRule="exact"/>
        <w:ind w:firstLine="660"/>
        <w:rPr>
          <w:rFonts w:ascii="仿宋_GB2312" w:eastAsia="仿宋_GB2312"/>
          <w:sz w:val="32"/>
          <w:szCs w:val="32"/>
        </w:rPr>
      </w:pPr>
      <w:r>
        <w:rPr>
          <w:rFonts w:hint="eastAsia" w:ascii="楷体_GB2312" w:eastAsia="楷体_GB2312"/>
          <w:b/>
          <w:color w:val="000000"/>
          <w:kern w:val="0"/>
          <w:sz w:val="32"/>
          <w:szCs w:val="32"/>
        </w:rPr>
        <w:t>（一）参保情况。</w:t>
      </w:r>
      <w:r>
        <w:rPr>
          <w:rFonts w:hint="eastAsia" w:ascii="仿宋_GB2312" w:eastAsia="仿宋_GB2312"/>
          <w:sz w:val="32"/>
          <w:szCs w:val="32"/>
        </w:rPr>
        <w:t>截至2021年末，全区城镇企业职工基本养老保险参保达到 219.95万人，比上年增加11.18万人，增长5.36%；比2017年底增加43.94万人，年平均增长5.73%。</w:t>
      </w:r>
    </w:p>
    <w:p>
      <w:pPr>
        <w:spacing w:line="360" w:lineRule="exact"/>
        <w:ind w:left="25" w:leftChars="12"/>
        <w:jc w:val="center"/>
        <w:rPr>
          <w:rFonts w:ascii="仿宋_GB2312" w:eastAsia="仿宋_GB2312"/>
          <w:sz w:val="28"/>
          <w:szCs w:val="28"/>
        </w:rPr>
      </w:pPr>
      <w:r>
        <w:rPr>
          <w:rFonts w:hint="eastAsia" w:ascii="仿宋_GB2312" w:eastAsia="仿宋_GB2312"/>
          <w:sz w:val="28"/>
          <w:szCs w:val="28"/>
        </w:rPr>
        <w:t xml:space="preserve">表1-1：2021年分市县城镇企业职工基本养老保险参保情况表 </w:t>
      </w:r>
    </w:p>
    <w:p>
      <w:pPr>
        <w:spacing w:line="360" w:lineRule="exact"/>
        <w:ind w:left="25" w:leftChars="12"/>
        <w:jc w:val="right"/>
        <w:rPr>
          <w:rFonts w:ascii="仿宋_GB2312" w:eastAsia="仿宋_GB2312"/>
          <w:sz w:val="28"/>
          <w:szCs w:val="28"/>
        </w:rPr>
      </w:pPr>
      <w:r>
        <w:rPr>
          <w:rFonts w:hint="eastAsia" w:ascii="仿宋_GB2312" w:eastAsia="仿宋_GB2312"/>
          <w:sz w:val="28"/>
          <w:szCs w:val="28"/>
        </w:rPr>
        <w:t xml:space="preserve"> 单位：万人</w:t>
      </w:r>
    </w:p>
    <w:tbl>
      <w:tblPr>
        <w:tblStyle w:val="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2265"/>
        <w:gridCol w:w="2265"/>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widowControl/>
              <w:jc w:val="center"/>
              <w:rPr>
                <w:rFonts w:ascii="黑体" w:hAnsi="黑体" w:eastAsia="黑体"/>
                <w:color w:val="000000"/>
                <w:kern w:val="0"/>
                <w:szCs w:val="21"/>
              </w:rPr>
            </w:pPr>
            <w:r>
              <w:rPr>
                <w:rFonts w:hint="eastAsia" w:ascii="黑体" w:hAnsi="黑体" w:eastAsia="黑体"/>
                <w:color w:val="000000"/>
                <w:kern w:val="0"/>
                <w:szCs w:val="21"/>
              </w:rPr>
              <w:t>地区</w:t>
            </w:r>
          </w:p>
        </w:tc>
        <w:tc>
          <w:tcPr>
            <w:tcW w:w="2265" w:type="dxa"/>
            <w:vAlign w:val="center"/>
          </w:tcPr>
          <w:p>
            <w:pPr>
              <w:widowControl/>
              <w:jc w:val="center"/>
              <w:rPr>
                <w:rFonts w:ascii="黑体" w:hAnsi="黑体" w:eastAsia="黑体"/>
                <w:color w:val="000000"/>
                <w:kern w:val="0"/>
                <w:szCs w:val="21"/>
              </w:rPr>
            </w:pPr>
            <w:r>
              <w:rPr>
                <w:rFonts w:hint="eastAsia" w:ascii="黑体" w:hAnsi="黑体" w:eastAsia="黑体"/>
                <w:color w:val="000000"/>
                <w:kern w:val="0"/>
                <w:szCs w:val="21"/>
              </w:rPr>
              <w:t>参保人数</w:t>
            </w:r>
          </w:p>
        </w:tc>
        <w:tc>
          <w:tcPr>
            <w:tcW w:w="2265" w:type="dxa"/>
            <w:vAlign w:val="center"/>
          </w:tcPr>
          <w:p>
            <w:pPr>
              <w:widowControl/>
              <w:jc w:val="center"/>
              <w:rPr>
                <w:rFonts w:ascii="黑体" w:hAnsi="黑体" w:eastAsia="黑体"/>
                <w:color w:val="000000"/>
                <w:kern w:val="0"/>
                <w:szCs w:val="21"/>
              </w:rPr>
            </w:pPr>
            <w:r>
              <w:rPr>
                <w:rFonts w:hint="eastAsia" w:ascii="黑体" w:hAnsi="黑体" w:eastAsia="黑体"/>
                <w:color w:val="000000"/>
                <w:kern w:val="0"/>
                <w:szCs w:val="21"/>
              </w:rPr>
              <w:t>地区</w:t>
            </w:r>
          </w:p>
        </w:tc>
        <w:tc>
          <w:tcPr>
            <w:tcW w:w="2265" w:type="dxa"/>
            <w:vAlign w:val="center"/>
          </w:tcPr>
          <w:p>
            <w:pPr>
              <w:widowControl/>
              <w:jc w:val="center"/>
              <w:rPr>
                <w:rFonts w:ascii="黑体" w:hAnsi="黑体" w:eastAsia="黑体"/>
                <w:color w:val="000000"/>
                <w:kern w:val="0"/>
                <w:szCs w:val="21"/>
              </w:rPr>
            </w:pPr>
            <w:r>
              <w:rPr>
                <w:rFonts w:hint="eastAsia" w:ascii="黑体" w:hAnsi="黑体" w:eastAsia="黑体"/>
                <w:color w:val="000000"/>
                <w:kern w:val="0"/>
                <w:szCs w:val="21"/>
              </w:rPr>
              <w:t>参保人数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ascii="仿宋_GB2312" w:eastAsia="仿宋_GB2312"/>
                <w:szCs w:val="21"/>
              </w:rPr>
            </w:pPr>
            <w:r>
              <w:rPr>
                <w:rFonts w:hint="eastAsia" w:ascii="仿宋_GB2312" w:eastAsia="仿宋_GB2312"/>
                <w:szCs w:val="21"/>
              </w:rPr>
              <w:t>银川市（市本级）</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87.45</w:t>
            </w:r>
          </w:p>
        </w:tc>
        <w:tc>
          <w:tcPr>
            <w:tcW w:w="2265" w:type="dxa"/>
            <w:vAlign w:val="center"/>
          </w:tcPr>
          <w:p>
            <w:pPr>
              <w:jc w:val="center"/>
              <w:rPr>
                <w:rFonts w:ascii="仿宋_GB2312" w:eastAsia="仿宋_GB2312"/>
                <w:szCs w:val="21"/>
              </w:rPr>
            </w:pPr>
            <w:r>
              <w:rPr>
                <w:rFonts w:hint="eastAsia" w:ascii="仿宋_GB2312" w:eastAsia="仿宋_GB2312"/>
                <w:szCs w:val="21"/>
              </w:rPr>
              <w:t>红寺堡</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ascii="仿宋_GB2312" w:eastAsia="仿宋_GB2312"/>
                <w:szCs w:val="21"/>
              </w:rPr>
            </w:pPr>
            <w:r>
              <w:rPr>
                <w:rFonts w:hint="eastAsia" w:ascii="仿宋_GB2312" w:eastAsia="仿宋_GB2312"/>
                <w:szCs w:val="21"/>
              </w:rPr>
              <w:t>灵武市</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5.23</w:t>
            </w:r>
          </w:p>
        </w:tc>
        <w:tc>
          <w:tcPr>
            <w:tcW w:w="2265" w:type="dxa"/>
            <w:vAlign w:val="center"/>
          </w:tcPr>
          <w:p>
            <w:pPr>
              <w:jc w:val="center"/>
              <w:rPr>
                <w:rFonts w:ascii="仿宋_GB2312" w:eastAsia="仿宋_GB2312"/>
                <w:szCs w:val="21"/>
              </w:rPr>
            </w:pPr>
            <w:r>
              <w:rPr>
                <w:rFonts w:hint="eastAsia" w:ascii="仿宋_GB2312" w:eastAsia="仿宋_GB2312"/>
                <w:szCs w:val="21"/>
              </w:rPr>
              <w:t>固原市（市本级）</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ascii="仿宋_GB2312" w:eastAsia="仿宋_GB2312"/>
                <w:szCs w:val="21"/>
              </w:rPr>
            </w:pPr>
            <w:r>
              <w:rPr>
                <w:rFonts w:hint="eastAsia" w:ascii="仿宋_GB2312" w:eastAsia="仿宋_GB2312"/>
                <w:szCs w:val="21"/>
              </w:rPr>
              <w:t>永宁县</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7.01</w:t>
            </w:r>
          </w:p>
        </w:tc>
        <w:tc>
          <w:tcPr>
            <w:tcW w:w="2265" w:type="dxa"/>
            <w:vAlign w:val="center"/>
          </w:tcPr>
          <w:p>
            <w:pPr>
              <w:jc w:val="center"/>
              <w:rPr>
                <w:rFonts w:ascii="仿宋_GB2312" w:eastAsia="仿宋_GB2312"/>
                <w:szCs w:val="21"/>
              </w:rPr>
            </w:pPr>
            <w:r>
              <w:rPr>
                <w:rFonts w:hint="eastAsia" w:ascii="仿宋_GB2312" w:eastAsia="仿宋_GB2312"/>
                <w:szCs w:val="21"/>
              </w:rPr>
              <w:t>西吉县</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ascii="仿宋_GB2312" w:eastAsia="仿宋_GB2312"/>
                <w:szCs w:val="21"/>
              </w:rPr>
            </w:pPr>
            <w:r>
              <w:rPr>
                <w:rFonts w:hint="eastAsia" w:ascii="仿宋_GB2312" w:eastAsia="仿宋_GB2312"/>
                <w:szCs w:val="21"/>
              </w:rPr>
              <w:t>贺兰县</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6.28</w:t>
            </w:r>
          </w:p>
        </w:tc>
        <w:tc>
          <w:tcPr>
            <w:tcW w:w="2265" w:type="dxa"/>
            <w:vAlign w:val="center"/>
          </w:tcPr>
          <w:p>
            <w:pPr>
              <w:jc w:val="center"/>
              <w:rPr>
                <w:rFonts w:ascii="仿宋_GB2312" w:eastAsia="仿宋_GB2312"/>
                <w:szCs w:val="21"/>
              </w:rPr>
            </w:pPr>
            <w:r>
              <w:rPr>
                <w:rFonts w:hint="eastAsia" w:ascii="仿宋_GB2312" w:eastAsia="仿宋_GB2312"/>
                <w:szCs w:val="21"/>
              </w:rPr>
              <w:t>隆德县</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ascii="仿宋_GB2312" w:eastAsia="仿宋_GB2312"/>
                <w:szCs w:val="21"/>
              </w:rPr>
            </w:pPr>
            <w:r>
              <w:rPr>
                <w:rFonts w:hint="eastAsia" w:ascii="仿宋_GB2312" w:eastAsia="仿宋_GB2312"/>
                <w:szCs w:val="21"/>
              </w:rPr>
              <w:t>宁东能源化工基地</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2.22</w:t>
            </w:r>
          </w:p>
        </w:tc>
        <w:tc>
          <w:tcPr>
            <w:tcW w:w="2265" w:type="dxa"/>
            <w:vAlign w:val="center"/>
          </w:tcPr>
          <w:p>
            <w:pPr>
              <w:jc w:val="center"/>
              <w:rPr>
                <w:rFonts w:ascii="仿宋_GB2312" w:eastAsia="仿宋_GB2312"/>
                <w:szCs w:val="21"/>
              </w:rPr>
            </w:pPr>
            <w:r>
              <w:rPr>
                <w:rFonts w:hint="eastAsia" w:ascii="仿宋_GB2312" w:eastAsia="仿宋_GB2312"/>
                <w:szCs w:val="21"/>
              </w:rPr>
              <w:t>泾源县</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ascii="仿宋_GB2312" w:eastAsia="仿宋_GB2312"/>
                <w:szCs w:val="21"/>
              </w:rPr>
            </w:pPr>
            <w:r>
              <w:rPr>
                <w:rFonts w:hint="eastAsia" w:ascii="仿宋_GB2312" w:eastAsia="仿宋_GB2312"/>
                <w:szCs w:val="21"/>
              </w:rPr>
              <w:t>石嘴山市（市本级）</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20.68</w:t>
            </w:r>
          </w:p>
        </w:tc>
        <w:tc>
          <w:tcPr>
            <w:tcW w:w="2265" w:type="dxa"/>
            <w:vAlign w:val="center"/>
          </w:tcPr>
          <w:p>
            <w:pPr>
              <w:jc w:val="center"/>
              <w:rPr>
                <w:rFonts w:ascii="仿宋_GB2312" w:eastAsia="仿宋_GB2312"/>
                <w:szCs w:val="21"/>
              </w:rPr>
            </w:pPr>
            <w:r>
              <w:rPr>
                <w:rFonts w:hint="eastAsia" w:ascii="仿宋_GB2312" w:eastAsia="仿宋_GB2312"/>
                <w:szCs w:val="21"/>
              </w:rPr>
              <w:t>彭阳县</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ascii="仿宋_GB2312" w:eastAsia="仿宋_GB2312"/>
                <w:szCs w:val="21"/>
              </w:rPr>
            </w:pPr>
            <w:r>
              <w:rPr>
                <w:rFonts w:hint="eastAsia" w:ascii="仿宋_GB2312" w:eastAsia="仿宋_GB2312"/>
                <w:szCs w:val="21"/>
              </w:rPr>
              <w:t>平罗县</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8.03</w:t>
            </w:r>
          </w:p>
        </w:tc>
        <w:tc>
          <w:tcPr>
            <w:tcW w:w="2265" w:type="dxa"/>
            <w:vAlign w:val="center"/>
          </w:tcPr>
          <w:p>
            <w:pPr>
              <w:jc w:val="center"/>
              <w:rPr>
                <w:rFonts w:ascii="仿宋_GB2312" w:eastAsia="仿宋_GB2312"/>
                <w:szCs w:val="21"/>
              </w:rPr>
            </w:pPr>
            <w:r>
              <w:rPr>
                <w:rFonts w:hint="eastAsia" w:ascii="仿宋_GB2312" w:eastAsia="仿宋_GB2312"/>
                <w:szCs w:val="21"/>
              </w:rPr>
              <w:t>中卫市（市本级）</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13.99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ascii="仿宋_GB2312" w:eastAsia="仿宋_GB2312"/>
                <w:szCs w:val="21"/>
              </w:rPr>
            </w:pPr>
            <w:r>
              <w:rPr>
                <w:rFonts w:hint="eastAsia" w:ascii="仿宋_GB2312" w:eastAsia="仿宋_GB2312"/>
                <w:szCs w:val="21"/>
              </w:rPr>
              <w:t>吴忠市（市本级）</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13.03</w:t>
            </w:r>
          </w:p>
        </w:tc>
        <w:tc>
          <w:tcPr>
            <w:tcW w:w="2265" w:type="dxa"/>
            <w:vAlign w:val="center"/>
          </w:tcPr>
          <w:p>
            <w:pPr>
              <w:jc w:val="center"/>
              <w:rPr>
                <w:rFonts w:ascii="仿宋_GB2312" w:eastAsia="仿宋_GB2312"/>
                <w:szCs w:val="21"/>
              </w:rPr>
            </w:pPr>
            <w:r>
              <w:rPr>
                <w:rFonts w:hint="eastAsia" w:ascii="仿宋_GB2312" w:eastAsia="仿宋_GB2312"/>
                <w:szCs w:val="21"/>
              </w:rPr>
              <w:t>中宁县</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8.23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ascii="仿宋_GB2312" w:eastAsia="仿宋_GB2312"/>
                <w:szCs w:val="21"/>
              </w:rPr>
            </w:pPr>
            <w:r>
              <w:rPr>
                <w:rFonts w:hint="eastAsia" w:ascii="仿宋_GB2312" w:eastAsia="仿宋_GB2312"/>
                <w:szCs w:val="21"/>
              </w:rPr>
              <w:t>青铜峡市</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6.59</w:t>
            </w:r>
          </w:p>
        </w:tc>
        <w:tc>
          <w:tcPr>
            <w:tcW w:w="2265" w:type="dxa"/>
            <w:vAlign w:val="center"/>
          </w:tcPr>
          <w:p>
            <w:pPr>
              <w:jc w:val="center"/>
              <w:rPr>
                <w:rFonts w:ascii="仿宋_GB2312" w:eastAsia="仿宋_GB2312"/>
                <w:szCs w:val="21"/>
              </w:rPr>
            </w:pPr>
            <w:r>
              <w:rPr>
                <w:rFonts w:hint="eastAsia" w:ascii="仿宋_GB2312" w:eastAsia="仿宋_GB2312"/>
                <w:szCs w:val="21"/>
              </w:rPr>
              <w:t>海原县</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ascii="仿宋_GB2312" w:eastAsia="仿宋_GB2312"/>
                <w:szCs w:val="21"/>
              </w:rPr>
            </w:pPr>
            <w:r>
              <w:rPr>
                <w:rFonts w:hint="eastAsia" w:ascii="仿宋_GB2312" w:eastAsia="仿宋_GB2312"/>
                <w:szCs w:val="21"/>
              </w:rPr>
              <w:t>盐池县</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1.94</w:t>
            </w:r>
          </w:p>
        </w:tc>
        <w:tc>
          <w:tcPr>
            <w:tcW w:w="2265" w:type="dxa"/>
            <w:vAlign w:val="center"/>
          </w:tcPr>
          <w:p>
            <w:pPr>
              <w:jc w:val="center"/>
              <w:rPr>
                <w:rFonts w:ascii="仿宋_GB2312" w:eastAsia="仿宋_GB2312"/>
                <w:szCs w:val="21"/>
              </w:rPr>
            </w:pPr>
            <w:r>
              <w:rPr>
                <w:rFonts w:hint="eastAsia" w:ascii="仿宋_GB2312" w:eastAsia="仿宋_GB2312"/>
                <w:szCs w:val="21"/>
              </w:rPr>
              <w:t>区本级</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23.98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ascii="仿宋_GB2312" w:eastAsia="仿宋_GB2312"/>
                <w:szCs w:val="21"/>
              </w:rPr>
            </w:pPr>
            <w:r>
              <w:rPr>
                <w:rFonts w:hint="eastAsia" w:ascii="仿宋_GB2312" w:eastAsia="仿宋_GB2312"/>
                <w:szCs w:val="21"/>
              </w:rPr>
              <w:t>同心县</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1.56</w:t>
            </w:r>
          </w:p>
        </w:tc>
        <w:tc>
          <w:tcPr>
            <w:tcW w:w="2265" w:type="dxa"/>
            <w:vAlign w:val="center"/>
          </w:tcPr>
          <w:p>
            <w:pPr>
              <w:jc w:val="center"/>
              <w:rPr>
                <w:rFonts w:ascii="仿宋_GB2312" w:eastAsia="仿宋_GB2312"/>
                <w:szCs w:val="21"/>
              </w:rPr>
            </w:pPr>
            <w:r>
              <w:rPr>
                <w:rFonts w:hint="eastAsia" w:ascii="仿宋_GB2312" w:eastAsia="仿宋_GB2312"/>
                <w:szCs w:val="21"/>
              </w:rPr>
              <w:t>合计</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219.95</w:t>
            </w:r>
          </w:p>
        </w:tc>
      </w:tr>
    </w:tbl>
    <w:p>
      <w:pPr>
        <w:autoSpaceDE w:val="0"/>
        <w:autoSpaceDN w:val="0"/>
        <w:adjustRightInd w:val="0"/>
        <w:snapToGrid w:val="0"/>
        <w:spacing w:line="560" w:lineRule="exact"/>
        <w:ind w:firstLine="643" w:firstLineChars="200"/>
        <w:rPr>
          <w:rFonts w:ascii="仿宋_GB2312" w:eastAsia="仿宋_GB2312"/>
          <w:b/>
          <w:color w:val="000000"/>
          <w:kern w:val="0"/>
          <w:sz w:val="32"/>
          <w:szCs w:val="32"/>
        </w:rPr>
      </w:pPr>
      <w:r>
        <w:rPr>
          <w:rFonts w:hint="eastAsia" w:ascii="仿宋_GB2312" w:eastAsia="仿宋_GB2312"/>
          <w:b/>
          <w:color w:val="000000"/>
          <w:kern w:val="0"/>
          <w:sz w:val="32"/>
          <w:szCs w:val="32"/>
        </w:rPr>
        <w:t>1.参保人员构成情况</w:t>
      </w:r>
    </w:p>
    <w:p>
      <w:pPr>
        <w:autoSpaceDE w:val="0"/>
        <w:autoSpaceDN w:val="0"/>
        <w:adjustRightInd w:val="0"/>
        <w:snapToGrid w:val="0"/>
        <w:spacing w:line="560" w:lineRule="exact"/>
        <w:ind w:firstLine="643" w:firstLineChars="200"/>
        <w:rPr>
          <w:rFonts w:ascii="仿宋_GB2312" w:eastAsia="仿宋_GB2312"/>
          <w:b/>
          <w:color w:val="000000"/>
          <w:kern w:val="0"/>
          <w:sz w:val="32"/>
          <w:szCs w:val="32"/>
        </w:rPr>
      </w:pPr>
      <w:r>
        <w:rPr>
          <w:rFonts w:hint="eastAsia" w:ascii="仿宋_GB2312" w:eastAsia="仿宋_GB2312"/>
          <w:b/>
          <w:color w:val="000000"/>
          <w:kern w:val="0"/>
          <w:sz w:val="32"/>
          <w:szCs w:val="32"/>
        </w:rPr>
        <w:t>（1）按单位类型</w:t>
      </w:r>
    </w:p>
    <w:p>
      <w:pPr>
        <w:autoSpaceDE w:val="0"/>
        <w:autoSpaceDN w:val="0"/>
        <w:adjustRightInd w:val="0"/>
        <w:snapToGrid w:val="0"/>
        <w:spacing w:line="560" w:lineRule="exact"/>
        <w:ind w:firstLine="643" w:firstLineChars="200"/>
        <w:rPr>
          <w:rFonts w:ascii="仿宋_GB2312" w:eastAsia="仿宋_GB2312"/>
          <w:sz w:val="32"/>
          <w:szCs w:val="32"/>
        </w:rPr>
      </w:pPr>
      <w:r>
        <w:rPr>
          <w:rFonts w:hint="eastAsia" w:ascii="仿宋_GB2312" w:eastAsia="仿宋_GB2312"/>
          <w:b/>
          <w:sz w:val="32"/>
          <w:szCs w:val="32"/>
        </w:rPr>
        <w:t>企业单位：</w:t>
      </w:r>
      <w:r>
        <w:rPr>
          <w:rFonts w:hint="eastAsia" w:ascii="仿宋_GB2312" w:eastAsia="仿宋_GB2312"/>
          <w:sz w:val="32"/>
          <w:szCs w:val="32"/>
        </w:rPr>
        <w:t>截至2021年底，企业单位参保人数为124.15万人，占参保总人数的56.44%，比上年增加7.15万人，增长6.11%；比2017年底增加24.98万人，年平均增长5.78%。</w:t>
      </w:r>
    </w:p>
    <w:p>
      <w:pPr>
        <w:autoSpaceDE w:val="0"/>
        <w:autoSpaceDN w:val="0"/>
        <w:adjustRightInd w:val="0"/>
        <w:rPr>
          <w:rFonts w:ascii="仿宋_GB2312" w:eastAsia="仿宋_GB2312"/>
          <w:sz w:val="30"/>
          <w:szCs w:val="30"/>
        </w:rPr>
      </w:pPr>
      <w:r>
        <w:rPr>
          <w:rFonts w:hint="eastAsia" w:ascii="仿宋_GB2312" w:eastAsia="仿宋_GB2312" w:cs="仿宋_GB2312"/>
          <w:spacing w:val="-10"/>
          <w:sz w:val="32"/>
          <w:szCs w:val="32"/>
        </w:rPr>
        <w:object>
          <v:shape id="_x0000_i1025" o:spt="75" type="#_x0000_t75" style="height:250.5pt;width:444pt;" o:ole="t" filled="f" o:preferrelative="t" stroked="f" coordsize="21600,21600">
            <v:path/>
            <v:fill on="f" focussize="0,0"/>
            <v:stroke on="f" joinstyle="miter"/>
            <v:imagedata r:id="rId7" o:title=""/>
            <o:lock v:ext="edit" aspectratio="f"/>
            <w10:wrap type="none"/>
            <w10:anchorlock/>
          </v:shape>
          <o:OLEObject Type="Embed" ProgID="Excel.Sheet.8" ShapeID="_x0000_i1025" DrawAspect="Content" ObjectID="_1468075725" r:id="rId6">
            <o:LockedField>false</o:LockedField>
          </o:OLEObject>
        </w:object>
      </w:r>
    </w:p>
    <w:p>
      <w:pPr>
        <w:autoSpaceDE w:val="0"/>
        <w:autoSpaceDN w:val="0"/>
        <w:adjustRightInd w:val="0"/>
        <w:rPr>
          <w:rFonts w:ascii="仿宋_GB2312" w:eastAsia="仿宋_GB2312"/>
          <w:color w:val="000000"/>
          <w:kern w:val="0"/>
          <w:sz w:val="28"/>
          <w:szCs w:val="28"/>
        </w:rPr>
      </w:pPr>
      <w:r>
        <w:rPr>
          <w:rFonts w:hint="eastAsia" w:ascii="仿宋_GB2312" w:eastAsia="仿宋_GB2312"/>
          <w:sz w:val="30"/>
          <w:szCs w:val="30"/>
        </w:rPr>
        <w:t xml:space="preserve">  </w:t>
      </w:r>
      <w:r>
        <w:rPr>
          <w:rFonts w:hint="eastAsia" w:ascii="仿宋_GB2312" w:eastAsia="仿宋_GB2312"/>
          <w:sz w:val="28"/>
          <w:szCs w:val="28"/>
        </w:rPr>
        <w:t xml:space="preserve">  图1-1：2017年-2021年企业单位参保职工人数及增长率对比图</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其他人员</w:t>
      </w:r>
      <w:r>
        <w:rPr>
          <w:rFonts w:hint="eastAsia" w:ascii="仿宋_GB2312" w:eastAsia="仿宋_GB2312"/>
          <w:b/>
          <w:sz w:val="32"/>
          <w:szCs w:val="32"/>
          <w:vertAlign w:val="superscript"/>
        </w:rPr>
        <w:footnoteReference w:id="0"/>
      </w:r>
      <w:r>
        <w:rPr>
          <w:rFonts w:hint="eastAsia" w:ascii="仿宋_GB2312" w:eastAsia="仿宋_GB2312"/>
          <w:b/>
          <w:sz w:val="32"/>
          <w:szCs w:val="32"/>
        </w:rPr>
        <w:t>：</w:t>
      </w:r>
      <w:r>
        <w:rPr>
          <w:rFonts w:hint="eastAsia" w:ascii="仿宋_GB2312" w:eastAsia="仿宋_GB2312"/>
          <w:sz w:val="32"/>
          <w:szCs w:val="32"/>
        </w:rPr>
        <w:t>截至2021年底，参保人数为95.8万人，占参保总人数的43.56%，比上年增加4.03万人，增长4.39%；比2017年底增加18.96万人，年平均增长5.67%。</w:t>
      </w:r>
    </w:p>
    <w:p>
      <w:pPr>
        <w:rPr>
          <w:rFonts w:ascii="仿宋_GB2312" w:eastAsia="仿宋_GB2312"/>
          <w:color w:val="000000"/>
          <w:kern w:val="0"/>
          <w:sz w:val="32"/>
          <w:szCs w:val="32"/>
        </w:rPr>
      </w:pPr>
      <w:r>
        <w:rPr>
          <w:rFonts w:hint="eastAsia" w:ascii="仿宋_GB2312" w:eastAsia="仿宋_GB2312"/>
          <w:color w:val="000000"/>
          <w:kern w:val="0"/>
          <w:sz w:val="32"/>
          <w:szCs w:val="32"/>
        </w:rPr>
        <w:drawing>
          <wp:inline distT="0" distB="0" distL="0" distR="0">
            <wp:extent cx="5619115" cy="2561590"/>
            <wp:effectExtent l="0" t="0" r="63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619115" cy="2561590"/>
                    </a:xfrm>
                    <a:prstGeom prst="rect">
                      <a:avLst/>
                    </a:prstGeom>
                    <a:noFill/>
                  </pic:spPr>
                </pic:pic>
              </a:graphicData>
            </a:graphic>
          </wp:inline>
        </w:drawing>
      </w:r>
    </w:p>
    <w:p>
      <w:pPr>
        <w:pStyle w:val="4"/>
        <w:jc w:val="center"/>
        <w:rPr>
          <w:rFonts w:ascii="仿宋_GB2312" w:hAnsi="Times New Roman" w:eastAsia="仿宋_GB2312"/>
          <w:sz w:val="28"/>
          <w:szCs w:val="28"/>
        </w:rPr>
      </w:pPr>
      <w:r>
        <w:rPr>
          <w:rFonts w:ascii="仿宋_GB2312" w:eastAsia="仿宋_GB2312"/>
          <w:spacing w:val="-10"/>
          <w:sz w:val="24"/>
        </w:rPr>
        <w:pict>
          <v:shape id="_x0000_s1698" o:spid="_x0000_s1698" o:spt="75" type="#_x0000_t75" style="position:absolute;left:0pt;margin-left:2.1pt;margin-top:30.25pt;height:213pt;width:439.5pt;z-index:-251643904;mso-width-relative:page;mso-height-relative:page;" o:ole="t" filled="f" o:preferrelative="t" stroked="f" coordsize="21600,21600">
            <v:path/>
            <v:fill on="f" focussize="0,0"/>
            <v:stroke on="f" joinstyle="miter"/>
            <v:imagedata r:id="rId10" o:title=""/>
            <o:lock v:ext="edit" aspectratio="t"/>
          </v:shape>
          <o:OLEObject Type="Embed" ProgID="Excel.Chart.8" ShapeID="_x0000_s1698" DrawAspect="Content" ObjectID="_1468075726" r:id="rId9">
            <o:LockedField>false</o:LockedField>
          </o:OLEObject>
        </w:pict>
      </w:r>
      <w:r>
        <w:rPr>
          <w:rFonts w:hint="eastAsia" w:ascii="仿宋_GB2312" w:hAnsi="Times New Roman" w:eastAsia="仿宋_GB2312"/>
          <w:sz w:val="28"/>
          <w:szCs w:val="28"/>
        </w:rPr>
        <w:t>图1-2：2017年-2021年其他人员参保人数及增长率对比图</w:t>
      </w:r>
    </w:p>
    <w:p>
      <w:pPr>
        <w:pStyle w:val="4"/>
        <w:rPr>
          <w:rFonts w:ascii="仿宋_GB2312" w:hAnsi="Times New Roman" w:eastAsia="仿宋_GB2312"/>
          <w:sz w:val="30"/>
          <w:szCs w:val="30"/>
        </w:rPr>
      </w:pPr>
    </w:p>
    <w:p>
      <w:pPr>
        <w:pStyle w:val="4"/>
        <w:jc w:val="center"/>
        <w:rPr>
          <w:rFonts w:ascii="仿宋_GB2312" w:hAnsi="Times New Roman" w:eastAsia="仿宋_GB2312"/>
          <w:sz w:val="28"/>
          <w:szCs w:val="28"/>
        </w:rPr>
      </w:pPr>
    </w:p>
    <w:p>
      <w:pPr>
        <w:pStyle w:val="4"/>
        <w:jc w:val="center"/>
        <w:rPr>
          <w:rFonts w:ascii="仿宋_GB2312" w:hAnsi="Times New Roman" w:eastAsia="仿宋_GB2312"/>
          <w:sz w:val="28"/>
          <w:szCs w:val="28"/>
        </w:rPr>
      </w:pPr>
    </w:p>
    <w:p>
      <w:pPr>
        <w:pStyle w:val="4"/>
        <w:jc w:val="center"/>
        <w:rPr>
          <w:rFonts w:ascii="仿宋_GB2312" w:hAnsi="Times New Roman" w:eastAsia="仿宋_GB2312"/>
          <w:sz w:val="28"/>
          <w:szCs w:val="28"/>
        </w:rPr>
      </w:pPr>
    </w:p>
    <w:p>
      <w:pPr>
        <w:pStyle w:val="4"/>
        <w:jc w:val="center"/>
        <w:rPr>
          <w:rFonts w:ascii="仿宋_GB2312" w:hAnsi="Times New Roman" w:eastAsia="仿宋_GB2312"/>
          <w:sz w:val="28"/>
          <w:szCs w:val="28"/>
        </w:rPr>
      </w:pPr>
    </w:p>
    <w:p>
      <w:pPr>
        <w:pStyle w:val="4"/>
        <w:jc w:val="center"/>
        <w:rPr>
          <w:rFonts w:ascii="仿宋_GB2312" w:hAnsi="Times New Roman" w:eastAsia="仿宋_GB2312"/>
          <w:sz w:val="28"/>
          <w:szCs w:val="28"/>
        </w:rPr>
      </w:pPr>
    </w:p>
    <w:p>
      <w:pPr>
        <w:pStyle w:val="4"/>
        <w:jc w:val="center"/>
        <w:rPr>
          <w:rFonts w:ascii="仿宋_GB2312" w:hAnsi="Times New Roman" w:eastAsia="仿宋_GB2312"/>
          <w:sz w:val="28"/>
          <w:szCs w:val="28"/>
        </w:rPr>
      </w:pPr>
    </w:p>
    <w:p>
      <w:pPr>
        <w:spacing w:line="560" w:lineRule="exact"/>
        <w:ind w:firstLine="560" w:firstLineChars="200"/>
        <w:rPr>
          <w:rFonts w:ascii="仿宋_GB2312" w:eastAsia="仿宋_GB2312"/>
          <w:b/>
          <w:sz w:val="32"/>
          <w:szCs w:val="32"/>
        </w:rPr>
      </w:pPr>
      <w:r>
        <w:rPr>
          <w:rFonts w:hint="eastAsia" w:ascii="仿宋_GB2312" w:hAnsi="Times New Roman" w:eastAsia="仿宋_GB2312"/>
          <w:sz w:val="28"/>
          <w:szCs w:val="28"/>
        </w:rPr>
        <w:t>图1-3：2017年-2021年企业单位和其他人员占比情况对比图</w:t>
      </w:r>
    </w:p>
    <w:p>
      <w:pPr>
        <w:spacing w:line="560" w:lineRule="exact"/>
        <w:ind w:firstLine="643" w:firstLineChars="200"/>
        <w:rPr>
          <w:rFonts w:ascii="仿宋_GB2312" w:eastAsia="仿宋_GB2312"/>
          <w:b/>
          <w:sz w:val="32"/>
          <w:szCs w:val="32"/>
        </w:rPr>
      </w:pPr>
      <w:r>
        <w:rPr>
          <w:rFonts w:hint="eastAsia" w:ascii="仿宋_GB2312" w:eastAsia="仿宋_GB2312"/>
          <w:b/>
          <w:sz w:val="32"/>
          <w:szCs w:val="32"/>
        </w:rPr>
        <w:t>（2）按人员类别</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职工：</w:t>
      </w:r>
      <w:r>
        <w:rPr>
          <w:rFonts w:hint="eastAsia" w:ascii="仿宋_GB2312" w:eastAsia="仿宋_GB2312"/>
          <w:sz w:val="32"/>
          <w:szCs w:val="32"/>
        </w:rPr>
        <w:t>截至2021年底，参加城镇企业职工基本养老保险的人数为160.76万人，占参保总人数的73.09%，比上年增加9.61万人，增长6.36%；比2017年底增加35.23万人，年平均增长6.38%。</w:t>
      </w:r>
    </w:p>
    <w:p>
      <w:pPr>
        <w:spacing w:line="560" w:lineRule="exact"/>
        <w:ind w:firstLine="640" w:firstLineChars="200"/>
        <w:rPr>
          <w:rFonts w:ascii="仿宋_GB2312" w:eastAsia="仿宋_GB2312"/>
          <w:sz w:val="32"/>
          <w:szCs w:val="32"/>
        </w:rPr>
      </w:pPr>
    </w:p>
    <w:p>
      <w:pPr>
        <w:topLinePunct/>
        <w:rPr>
          <w:rFonts w:ascii="仿宋_GB2312" w:eastAsia="仿宋_GB2312"/>
          <w:sz w:val="32"/>
          <w:szCs w:val="32"/>
        </w:rPr>
      </w:pPr>
      <w:r>
        <w:rPr>
          <w:rFonts w:ascii="仿宋_GB2312" w:eastAsia="仿宋_GB2312"/>
          <w:spacing w:val="-10"/>
          <w:sz w:val="32"/>
          <w:szCs w:val="32"/>
        </w:rPr>
        <w:pict>
          <v:shape id="对象 344" o:spid="_x0000_s1697" o:spt="75" type="#_x0000_t75" style="position:absolute;left:0pt;margin-left:-3.5pt;margin-top:6.6pt;height:202.75pt;width:462.8pt;z-index:-251650048;mso-width-relative:page;mso-height-relative:page;" o:ole="t" filled="f" o:preferrelative="t" stroked="f" coordsize="21600,21600">
            <v:path/>
            <v:fill on="f" focussize="0,0"/>
            <v:stroke on="f" joinstyle="miter"/>
            <v:imagedata r:id="rId12" o:title=""/>
            <o:lock v:ext="edit" aspectratio="f"/>
          </v:shape>
          <o:OLEObject Type="Embed" ProgID="Excel.Sheet.8" ShapeID="对象 344" DrawAspect="Content" ObjectID="_1468075727" r:id="rId11">
            <o:LockedField>false</o:LockedField>
          </o:OLEObject>
        </w:pict>
      </w:r>
    </w:p>
    <w:p>
      <w:pPr>
        <w:topLinePunct/>
        <w:rPr>
          <w:rFonts w:ascii="仿宋_GB2312" w:eastAsia="仿宋_GB2312"/>
          <w:sz w:val="32"/>
          <w:szCs w:val="32"/>
        </w:rPr>
      </w:pPr>
    </w:p>
    <w:p>
      <w:pPr>
        <w:topLinePunct/>
        <w:rPr>
          <w:rFonts w:ascii="仿宋_GB2312" w:eastAsia="仿宋_GB2312"/>
          <w:sz w:val="32"/>
          <w:szCs w:val="32"/>
        </w:rPr>
      </w:pPr>
    </w:p>
    <w:p>
      <w:pPr>
        <w:topLinePunct/>
        <w:rPr>
          <w:rFonts w:ascii="仿宋_GB2312" w:eastAsia="仿宋_GB2312"/>
          <w:sz w:val="32"/>
          <w:szCs w:val="32"/>
        </w:rPr>
      </w:pPr>
    </w:p>
    <w:p>
      <w:pPr>
        <w:topLinePunct/>
        <w:rPr>
          <w:rFonts w:ascii="仿宋_GB2312" w:eastAsia="仿宋_GB2312"/>
          <w:sz w:val="32"/>
          <w:szCs w:val="32"/>
        </w:rPr>
      </w:pPr>
    </w:p>
    <w:p>
      <w:pPr>
        <w:topLinePunct/>
        <w:rPr>
          <w:rFonts w:ascii="仿宋_GB2312" w:eastAsia="仿宋_GB2312"/>
          <w:sz w:val="32"/>
          <w:szCs w:val="32"/>
        </w:rPr>
      </w:pPr>
    </w:p>
    <w:p>
      <w:pPr>
        <w:topLinePunct/>
        <w:rPr>
          <w:rFonts w:ascii="仿宋_GB2312" w:eastAsia="仿宋_GB2312"/>
          <w:sz w:val="32"/>
          <w:szCs w:val="32"/>
        </w:rPr>
      </w:pPr>
    </w:p>
    <w:p>
      <w:pPr>
        <w:pStyle w:val="4"/>
        <w:spacing w:line="560" w:lineRule="exact"/>
        <w:jc w:val="center"/>
        <w:rPr>
          <w:rFonts w:ascii="仿宋_GB2312" w:hAnsi="Times New Roman" w:eastAsia="仿宋_GB2312"/>
          <w:color w:val="000000"/>
          <w:kern w:val="0"/>
          <w:sz w:val="28"/>
          <w:szCs w:val="28"/>
        </w:rPr>
      </w:pPr>
      <w:r>
        <w:rPr>
          <w:rFonts w:hint="eastAsia" w:ascii="仿宋_GB2312" w:hAnsi="Times New Roman" w:eastAsia="仿宋_GB2312"/>
          <w:sz w:val="28"/>
          <w:szCs w:val="28"/>
        </w:rPr>
        <w:t>图1-4：2017年-2021年企业参保职工人数及增长情况对比图</w:t>
      </w:r>
    </w:p>
    <w:p>
      <w:pPr>
        <w:spacing w:line="560" w:lineRule="exact"/>
        <w:ind w:firstLine="643" w:firstLineChars="200"/>
        <w:rPr>
          <w:rFonts w:ascii="仿宋_GB2312" w:eastAsia="仿宋_GB2312"/>
          <w:sz w:val="32"/>
          <w:szCs w:val="32"/>
        </w:rPr>
      </w:pPr>
      <w:r>
        <w:rPr>
          <w:rFonts w:hint="eastAsia" w:ascii="仿宋_GB2312" w:eastAsia="仿宋_GB2312"/>
          <w:b/>
          <w:bCs/>
          <w:sz w:val="32"/>
          <w:szCs w:val="32"/>
        </w:rPr>
        <w:t>离退休人员：</w:t>
      </w:r>
      <w:r>
        <w:rPr>
          <w:rFonts w:hint="eastAsia" w:ascii="仿宋_GB2312" w:eastAsia="仿宋_GB2312"/>
          <w:sz w:val="32"/>
          <w:szCs w:val="32"/>
        </w:rPr>
        <w:t>截至2021年底，参加城镇企业职工基本养老保险的离退休人员为59.19万人，比上年增加1.57万人，增长2.72%；比2017年增加8.71万人，年平均增长4.06%。</w:t>
      </w:r>
    </w:p>
    <w:p>
      <w:pPr>
        <w:rPr>
          <w:rFonts w:ascii="仿宋_GB2312" w:eastAsia="仿宋_GB2312"/>
          <w:sz w:val="32"/>
          <w:szCs w:val="32"/>
        </w:rPr>
      </w:pPr>
      <w:r>
        <w:rPr>
          <w:rFonts w:hint="eastAsia" w:ascii="仿宋_GB2312" w:eastAsia="仿宋_GB2312"/>
          <w:sz w:val="32"/>
          <w:szCs w:val="32"/>
        </w:rPr>
        <w:drawing>
          <wp:inline distT="0" distB="0" distL="0" distR="0">
            <wp:extent cx="5683250" cy="3090545"/>
            <wp:effectExtent l="19050" t="19050" r="12700" b="14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3">
                      <a:extLst>
                        <a:ext uri="{28A0092B-C50C-407E-A947-70E740481C1C}">
                          <a14:useLocalDpi xmlns:a14="http://schemas.microsoft.com/office/drawing/2010/main" val="0"/>
                        </a:ext>
                      </a:extLst>
                    </a:blip>
                    <a:srcRect l="379" t="1824" r="1270" b="1824"/>
                    <a:stretch>
                      <a:fillRect/>
                    </a:stretch>
                  </pic:blipFill>
                  <pic:spPr>
                    <a:xfrm>
                      <a:off x="0" y="0"/>
                      <a:ext cx="5685624" cy="3092201"/>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p>
      <w:pPr>
        <w:pStyle w:val="4"/>
        <w:jc w:val="center"/>
        <w:rPr>
          <w:rFonts w:ascii="仿宋_GB2312" w:hAnsi="Times New Roman" w:eastAsia="仿宋_GB2312"/>
          <w:sz w:val="28"/>
          <w:szCs w:val="28"/>
        </w:rPr>
      </w:pPr>
      <w:r>
        <w:rPr>
          <w:rFonts w:hint="eastAsia" w:ascii="仿宋_GB2312" w:hAnsi="Times New Roman" w:eastAsia="仿宋_GB2312"/>
          <w:sz w:val="28"/>
          <w:szCs w:val="28"/>
        </w:rPr>
        <w:t>图1-5：2017年-2021年企业离退休人员及增长率情况对比图</w:t>
      </w:r>
    </w:p>
    <w:p>
      <w:pPr>
        <w:spacing w:line="600" w:lineRule="exact"/>
        <w:ind w:firstLine="643" w:firstLineChars="200"/>
        <w:rPr>
          <w:rFonts w:ascii="仿宋_GB2312" w:eastAsia="仿宋_GB2312"/>
          <w:kern w:val="0"/>
          <w:sz w:val="32"/>
          <w:szCs w:val="32"/>
        </w:rPr>
      </w:pPr>
      <w:r>
        <w:rPr>
          <w:rFonts w:hint="eastAsia" w:ascii="仿宋_GB2312" w:eastAsia="仿宋_GB2312"/>
          <w:b/>
          <w:kern w:val="0"/>
          <w:sz w:val="32"/>
          <w:szCs w:val="32"/>
        </w:rPr>
        <w:t>抚养比</w:t>
      </w:r>
      <w:r>
        <w:rPr>
          <w:rStyle w:val="22"/>
          <w:rFonts w:hint="eastAsia" w:ascii="仿宋_GB2312" w:eastAsia="仿宋_GB2312"/>
          <w:b/>
          <w:kern w:val="0"/>
          <w:sz w:val="32"/>
          <w:szCs w:val="32"/>
        </w:rPr>
        <w:footnoteReference w:id="1"/>
      </w:r>
      <w:r>
        <w:rPr>
          <w:rFonts w:hint="eastAsia" w:ascii="仿宋_GB2312" w:eastAsia="仿宋_GB2312"/>
          <w:b/>
          <w:kern w:val="0"/>
          <w:sz w:val="32"/>
          <w:szCs w:val="32"/>
        </w:rPr>
        <w:t xml:space="preserve"> ：</w:t>
      </w:r>
      <w:r>
        <w:rPr>
          <w:rFonts w:hint="eastAsia" w:ascii="仿宋_GB2312" w:eastAsia="仿宋_GB2312"/>
          <w:kern w:val="32"/>
          <w:sz w:val="32"/>
          <w:szCs w:val="32"/>
        </w:rPr>
        <w:t>2021</w:t>
      </w:r>
      <w:r>
        <w:rPr>
          <w:rFonts w:hint="eastAsia" w:ascii="仿宋_GB2312" w:eastAsia="仿宋_GB2312"/>
          <w:kern w:val="0"/>
          <w:sz w:val="32"/>
          <w:szCs w:val="32"/>
        </w:rPr>
        <w:t xml:space="preserve">年城镇企业职工基本养老保险抚养比为2.72:1 </w:t>
      </w:r>
      <w:r>
        <w:rPr>
          <w:rFonts w:hint="eastAsia" w:ascii="仿宋_GB2312" w:eastAsia="仿宋_GB2312"/>
          <w:kern w:val="32"/>
          <w:sz w:val="32"/>
          <w:szCs w:val="32"/>
        </w:rPr>
        <w:t>，</w:t>
      </w:r>
      <w:r>
        <w:rPr>
          <w:rFonts w:hint="eastAsia" w:ascii="仿宋_GB2312" w:eastAsia="仿宋_GB2312"/>
          <w:kern w:val="0"/>
          <w:sz w:val="32"/>
          <w:szCs w:val="32"/>
        </w:rPr>
        <w:t>较上年的2.62:1</w:t>
      </w:r>
      <w:r>
        <w:rPr>
          <w:rFonts w:hint="eastAsia" w:ascii="仿宋_GB2312" w:eastAsia="仿宋_GB2312"/>
          <w:kern w:val="32"/>
          <w:sz w:val="32"/>
          <w:szCs w:val="32"/>
        </w:rPr>
        <w:t>略有上升</w:t>
      </w:r>
      <w:r>
        <w:rPr>
          <w:rFonts w:hint="eastAsia" w:ascii="仿宋_GB2312" w:eastAsia="仿宋_GB2312"/>
          <w:kern w:val="0"/>
          <w:sz w:val="32"/>
          <w:szCs w:val="32"/>
        </w:rPr>
        <w:t>。养老保险抚养比较高的地区有：宁东能源化工基地（97.20:1）、红寺堡区（7.51:1）、银川市（4.71:1）、中宁县（3.33:1）；养老保险抚养比较低的地区有：海原县（1.03 :1）、同心县（1.06 :1）、隆德县（1.34:1）、区本级（1.36:1）。</w:t>
      </w:r>
    </w:p>
    <w:p>
      <w:pPr>
        <w:rPr>
          <w:rFonts w:ascii="仿宋_GB2312" w:eastAsia="仿宋_GB2312"/>
          <w:kern w:val="0"/>
          <w:sz w:val="32"/>
          <w:szCs w:val="32"/>
        </w:rPr>
      </w:pPr>
      <w:r>
        <w:rPr>
          <w:rFonts w:hint="eastAsia" w:ascii="仿宋_GB2312" w:eastAsia="仿宋_GB2312"/>
          <w:kern w:val="0"/>
          <w:sz w:val="32"/>
          <w:szCs w:val="32"/>
        </w:rPr>
        <w:drawing>
          <wp:inline distT="0" distB="0" distL="0" distR="0">
            <wp:extent cx="5654040" cy="2800350"/>
            <wp:effectExtent l="19050" t="19050" r="22860" b="190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4">
                      <a:extLst>
                        <a:ext uri="{28A0092B-C50C-407E-A947-70E740481C1C}">
                          <a14:useLocalDpi xmlns:a14="http://schemas.microsoft.com/office/drawing/2010/main" val="0"/>
                        </a:ext>
                      </a:extLst>
                    </a:blip>
                    <a:srcRect l="887" t="1497" r="1273" b="2971"/>
                    <a:stretch>
                      <a:fillRect/>
                    </a:stretch>
                  </pic:blipFill>
                  <pic:spPr>
                    <a:xfrm>
                      <a:off x="0" y="0"/>
                      <a:ext cx="5656208" cy="2801979"/>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p>
      <w:pPr>
        <w:pStyle w:val="4"/>
        <w:jc w:val="center"/>
        <w:rPr>
          <w:rFonts w:ascii="仿宋_GB2312" w:hAnsi="Times New Roman" w:eastAsia="仿宋_GB2312"/>
          <w:color w:val="000000"/>
          <w:kern w:val="0"/>
          <w:sz w:val="28"/>
          <w:szCs w:val="28"/>
        </w:rPr>
      </w:pPr>
      <w:r>
        <w:rPr>
          <w:rFonts w:hint="eastAsia" w:ascii="仿宋_GB2312" w:hAnsi="Times New Roman" w:eastAsia="仿宋_GB2312"/>
          <w:sz w:val="28"/>
          <w:szCs w:val="28"/>
        </w:rPr>
        <w:t>图1-6：2017年-2021年城镇企业职工基本养老保险抚养比对比图</w:t>
      </w:r>
    </w:p>
    <w:p>
      <w:pPr>
        <w:autoSpaceDE w:val="0"/>
        <w:autoSpaceDN w:val="0"/>
        <w:adjustRightInd w:val="0"/>
        <w:spacing w:line="300" w:lineRule="exact"/>
        <w:jc w:val="center"/>
        <w:rPr>
          <w:rFonts w:ascii="仿宋_GB2312" w:eastAsia="仿宋_GB2312"/>
          <w:color w:val="000000"/>
          <w:kern w:val="0"/>
          <w:sz w:val="30"/>
          <w:szCs w:val="30"/>
        </w:rPr>
      </w:pPr>
    </w:p>
    <w:p>
      <w:pPr>
        <w:autoSpaceDE w:val="0"/>
        <w:autoSpaceDN w:val="0"/>
        <w:adjustRightInd w:val="0"/>
        <w:jc w:val="center"/>
        <w:rPr>
          <w:rFonts w:ascii="仿宋_GB2312" w:eastAsia="仿宋_GB2312"/>
          <w:color w:val="000000"/>
          <w:kern w:val="0"/>
          <w:sz w:val="28"/>
          <w:szCs w:val="28"/>
        </w:rPr>
      </w:pPr>
      <w:r>
        <w:rPr>
          <w:rFonts w:hint="eastAsia" w:ascii="仿宋_GB2312" w:eastAsia="仿宋_GB2312"/>
          <w:color w:val="000000"/>
          <w:kern w:val="0"/>
          <w:sz w:val="28"/>
          <w:szCs w:val="28"/>
        </w:rPr>
        <w:t>表1-2：2021年分市县城镇企业职工养老保险抚养比情况表</w:t>
      </w:r>
    </w:p>
    <w:tbl>
      <w:tblPr>
        <w:tblStyle w:val="23"/>
        <w:tblW w:w="8005" w:type="dxa"/>
        <w:jc w:val="center"/>
        <w:tblInd w:w="0" w:type="dxa"/>
        <w:tblLayout w:type="fixed"/>
        <w:tblCellMar>
          <w:top w:w="0" w:type="dxa"/>
          <w:left w:w="108" w:type="dxa"/>
          <w:bottom w:w="0" w:type="dxa"/>
          <w:right w:w="108" w:type="dxa"/>
        </w:tblCellMar>
      </w:tblPr>
      <w:tblGrid>
        <w:gridCol w:w="2204"/>
        <w:gridCol w:w="1692"/>
        <w:gridCol w:w="2037"/>
        <w:gridCol w:w="2072"/>
      </w:tblGrid>
      <w:tr>
        <w:tblPrEx>
          <w:tblLayout w:type="fixed"/>
          <w:tblCellMar>
            <w:top w:w="0" w:type="dxa"/>
            <w:left w:w="108" w:type="dxa"/>
            <w:bottom w:w="0" w:type="dxa"/>
            <w:right w:w="108" w:type="dxa"/>
          </w:tblCellMar>
        </w:tblPrEx>
        <w:trPr>
          <w:trHeight w:val="513" w:hRule="atLeast"/>
          <w:jc w:val="center"/>
        </w:trPr>
        <w:tc>
          <w:tcPr>
            <w:tcW w:w="220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eastAsia="仿宋_GB2312"/>
                <w:color w:val="000000"/>
                <w:kern w:val="0"/>
                <w:szCs w:val="21"/>
              </w:rPr>
            </w:pPr>
            <w:r>
              <w:rPr>
                <w:rFonts w:hint="eastAsia" w:ascii="仿宋_GB2312" w:eastAsia="仿宋_GB2312"/>
                <w:color w:val="000000"/>
                <w:kern w:val="0"/>
                <w:szCs w:val="21"/>
              </w:rPr>
              <w:t>地区</w:t>
            </w:r>
          </w:p>
        </w:tc>
        <w:tc>
          <w:tcPr>
            <w:tcW w:w="1692" w:type="dxa"/>
            <w:tcBorders>
              <w:top w:val="single" w:color="auto" w:sz="4" w:space="0"/>
              <w:left w:val="nil"/>
              <w:bottom w:val="single" w:color="auto" w:sz="4" w:space="0"/>
              <w:right w:val="single" w:color="auto" w:sz="4" w:space="0"/>
            </w:tcBorders>
            <w:vAlign w:val="center"/>
          </w:tcPr>
          <w:p>
            <w:pPr>
              <w:widowControl/>
              <w:jc w:val="center"/>
              <w:rPr>
                <w:rFonts w:ascii="仿宋_GB2312" w:eastAsia="仿宋_GB2312"/>
                <w:color w:val="000000"/>
                <w:kern w:val="0"/>
                <w:szCs w:val="21"/>
              </w:rPr>
            </w:pPr>
            <w:r>
              <w:rPr>
                <w:rFonts w:hint="eastAsia" w:ascii="仿宋_GB2312" w:eastAsia="仿宋_GB2312"/>
                <w:color w:val="000000"/>
                <w:kern w:val="0"/>
                <w:szCs w:val="21"/>
              </w:rPr>
              <w:t>抚养比</w:t>
            </w:r>
          </w:p>
        </w:tc>
        <w:tc>
          <w:tcPr>
            <w:tcW w:w="2037" w:type="dxa"/>
            <w:tcBorders>
              <w:top w:val="single" w:color="auto" w:sz="4" w:space="0"/>
              <w:left w:val="nil"/>
              <w:bottom w:val="single" w:color="auto" w:sz="4" w:space="0"/>
              <w:right w:val="single" w:color="auto" w:sz="4" w:space="0"/>
            </w:tcBorders>
            <w:vAlign w:val="center"/>
          </w:tcPr>
          <w:p>
            <w:pPr>
              <w:widowControl/>
              <w:jc w:val="center"/>
              <w:rPr>
                <w:rFonts w:ascii="仿宋_GB2312" w:eastAsia="仿宋_GB2312"/>
                <w:color w:val="000000"/>
                <w:kern w:val="0"/>
                <w:szCs w:val="21"/>
              </w:rPr>
            </w:pPr>
            <w:r>
              <w:rPr>
                <w:rFonts w:hint="eastAsia" w:ascii="仿宋_GB2312" w:eastAsia="仿宋_GB2312"/>
                <w:color w:val="000000"/>
                <w:kern w:val="0"/>
                <w:szCs w:val="21"/>
              </w:rPr>
              <w:t>地区</w:t>
            </w:r>
          </w:p>
        </w:tc>
        <w:tc>
          <w:tcPr>
            <w:tcW w:w="2072" w:type="dxa"/>
            <w:tcBorders>
              <w:top w:val="single" w:color="auto" w:sz="4" w:space="0"/>
              <w:left w:val="nil"/>
              <w:bottom w:val="single" w:color="auto" w:sz="4" w:space="0"/>
              <w:right w:val="single" w:color="auto" w:sz="4" w:space="0"/>
            </w:tcBorders>
            <w:vAlign w:val="center"/>
          </w:tcPr>
          <w:p>
            <w:pPr>
              <w:widowControl/>
              <w:jc w:val="center"/>
              <w:rPr>
                <w:rFonts w:ascii="仿宋_GB2312" w:eastAsia="仿宋_GB2312"/>
                <w:color w:val="000000"/>
                <w:kern w:val="0"/>
                <w:szCs w:val="21"/>
              </w:rPr>
            </w:pPr>
            <w:r>
              <w:rPr>
                <w:rFonts w:hint="eastAsia" w:ascii="仿宋_GB2312" w:eastAsia="仿宋_GB2312"/>
                <w:color w:val="000000"/>
                <w:kern w:val="0"/>
                <w:szCs w:val="21"/>
              </w:rPr>
              <w:t>抚养比</w:t>
            </w:r>
          </w:p>
        </w:tc>
      </w:tr>
      <w:tr>
        <w:tblPrEx>
          <w:tblLayout w:type="fixed"/>
          <w:tblCellMar>
            <w:top w:w="0" w:type="dxa"/>
            <w:left w:w="108" w:type="dxa"/>
            <w:bottom w:w="0" w:type="dxa"/>
            <w:right w:w="108" w:type="dxa"/>
          </w:tblCellMar>
        </w:tblPrEx>
        <w:trPr>
          <w:trHeight w:val="334" w:hRule="exact"/>
          <w:jc w:val="center"/>
        </w:trPr>
        <w:tc>
          <w:tcPr>
            <w:tcW w:w="2204" w:type="dxa"/>
            <w:tcBorders>
              <w:top w:val="nil"/>
              <w:left w:val="single" w:color="auto" w:sz="4" w:space="0"/>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银川市（市本级）</w:t>
            </w:r>
          </w:p>
        </w:tc>
        <w:tc>
          <w:tcPr>
            <w:tcW w:w="1692" w:type="dxa"/>
            <w:tcBorders>
              <w:top w:val="nil"/>
              <w:left w:val="nil"/>
              <w:bottom w:val="single" w:color="auto" w:sz="4" w:space="0"/>
              <w:right w:val="single" w:color="auto" w:sz="4" w:space="0"/>
            </w:tcBorders>
            <w:vAlign w:val="center"/>
          </w:tcPr>
          <w:p>
            <w:pPr>
              <w:jc w:val="center"/>
              <w:rPr>
                <w:rFonts w:ascii="仿宋_GB2312" w:eastAsia="仿宋_GB2312"/>
                <w:sz w:val="20"/>
                <w:szCs w:val="20"/>
              </w:rPr>
            </w:pPr>
            <w:r>
              <w:rPr>
                <w:rFonts w:hint="eastAsia" w:ascii="仿宋_GB2312" w:eastAsia="仿宋_GB2312"/>
                <w:sz w:val="20"/>
                <w:szCs w:val="20"/>
              </w:rPr>
              <w:t>4.71:1</w:t>
            </w:r>
          </w:p>
        </w:tc>
        <w:tc>
          <w:tcPr>
            <w:tcW w:w="2037"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红寺堡</w:t>
            </w:r>
          </w:p>
        </w:tc>
        <w:tc>
          <w:tcPr>
            <w:tcW w:w="2072" w:type="dxa"/>
            <w:tcBorders>
              <w:top w:val="nil"/>
              <w:left w:val="nil"/>
              <w:bottom w:val="single" w:color="auto" w:sz="4" w:space="0"/>
              <w:right w:val="single" w:color="auto" w:sz="4" w:space="0"/>
            </w:tcBorders>
            <w:vAlign w:val="center"/>
          </w:tcPr>
          <w:p>
            <w:pPr>
              <w:jc w:val="center"/>
              <w:rPr>
                <w:rFonts w:ascii="仿宋_GB2312" w:eastAsia="仿宋_GB2312"/>
                <w:sz w:val="20"/>
                <w:szCs w:val="20"/>
              </w:rPr>
            </w:pPr>
            <w:r>
              <w:rPr>
                <w:rFonts w:hint="eastAsia" w:ascii="仿宋_GB2312" w:eastAsia="仿宋_GB2312"/>
                <w:sz w:val="20"/>
                <w:szCs w:val="20"/>
              </w:rPr>
              <w:t>7.51:1</w:t>
            </w:r>
          </w:p>
        </w:tc>
      </w:tr>
      <w:tr>
        <w:tblPrEx>
          <w:tblLayout w:type="fixed"/>
          <w:tblCellMar>
            <w:top w:w="0" w:type="dxa"/>
            <w:left w:w="108" w:type="dxa"/>
            <w:bottom w:w="0" w:type="dxa"/>
            <w:right w:w="108" w:type="dxa"/>
          </w:tblCellMar>
        </w:tblPrEx>
        <w:trPr>
          <w:trHeight w:val="334" w:hRule="exact"/>
          <w:jc w:val="center"/>
        </w:trPr>
        <w:tc>
          <w:tcPr>
            <w:tcW w:w="2204" w:type="dxa"/>
            <w:tcBorders>
              <w:top w:val="nil"/>
              <w:left w:val="single" w:color="auto" w:sz="4" w:space="0"/>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灵武市</w:t>
            </w:r>
          </w:p>
        </w:tc>
        <w:tc>
          <w:tcPr>
            <w:tcW w:w="1692" w:type="dxa"/>
            <w:tcBorders>
              <w:top w:val="nil"/>
              <w:left w:val="nil"/>
              <w:bottom w:val="single" w:color="auto" w:sz="4" w:space="0"/>
              <w:right w:val="single" w:color="auto" w:sz="4" w:space="0"/>
            </w:tcBorders>
            <w:vAlign w:val="center"/>
          </w:tcPr>
          <w:p>
            <w:pPr>
              <w:jc w:val="center"/>
              <w:rPr>
                <w:rFonts w:ascii="仿宋_GB2312" w:eastAsia="仿宋_GB2312"/>
                <w:sz w:val="20"/>
                <w:szCs w:val="20"/>
              </w:rPr>
            </w:pPr>
            <w:r>
              <w:rPr>
                <w:rFonts w:hint="eastAsia" w:ascii="仿宋_GB2312" w:eastAsia="仿宋_GB2312"/>
                <w:sz w:val="20"/>
                <w:szCs w:val="20"/>
              </w:rPr>
              <w:t>1.40:1</w:t>
            </w:r>
          </w:p>
        </w:tc>
        <w:tc>
          <w:tcPr>
            <w:tcW w:w="2037"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固原市（市本级）</w:t>
            </w:r>
          </w:p>
        </w:tc>
        <w:tc>
          <w:tcPr>
            <w:tcW w:w="2072" w:type="dxa"/>
            <w:tcBorders>
              <w:top w:val="nil"/>
              <w:left w:val="nil"/>
              <w:bottom w:val="single" w:color="auto" w:sz="4" w:space="0"/>
              <w:right w:val="single" w:color="auto" w:sz="4" w:space="0"/>
            </w:tcBorders>
            <w:vAlign w:val="center"/>
          </w:tcPr>
          <w:p>
            <w:pPr>
              <w:jc w:val="center"/>
              <w:rPr>
                <w:rFonts w:ascii="仿宋_GB2312" w:eastAsia="仿宋_GB2312"/>
                <w:sz w:val="20"/>
                <w:szCs w:val="20"/>
              </w:rPr>
            </w:pPr>
            <w:r>
              <w:rPr>
                <w:rFonts w:hint="eastAsia" w:ascii="仿宋_GB2312" w:eastAsia="仿宋_GB2312"/>
                <w:sz w:val="20"/>
                <w:szCs w:val="20"/>
              </w:rPr>
              <w:t>2.34:1</w:t>
            </w:r>
          </w:p>
        </w:tc>
      </w:tr>
      <w:tr>
        <w:tblPrEx>
          <w:tblLayout w:type="fixed"/>
          <w:tblCellMar>
            <w:top w:w="0" w:type="dxa"/>
            <w:left w:w="108" w:type="dxa"/>
            <w:bottom w:w="0" w:type="dxa"/>
            <w:right w:w="108" w:type="dxa"/>
          </w:tblCellMar>
        </w:tblPrEx>
        <w:trPr>
          <w:trHeight w:val="334" w:hRule="exact"/>
          <w:jc w:val="center"/>
        </w:trPr>
        <w:tc>
          <w:tcPr>
            <w:tcW w:w="2204" w:type="dxa"/>
            <w:tcBorders>
              <w:top w:val="nil"/>
              <w:left w:val="single" w:color="auto" w:sz="4" w:space="0"/>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永宁县</w:t>
            </w:r>
          </w:p>
        </w:tc>
        <w:tc>
          <w:tcPr>
            <w:tcW w:w="1692" w:type="dxa"/>
            <w:tcBorders>
              <w:top w:val="nil"/>
              <w:left w:val="nil"/>
              <w:bottom w:val="single" w:color="auto" w:sz="4" w:space="0"/>
              <w:right w:val="single" w:color="auto" w:sz="4" w:space="0"/>
            </w:tcBorders>
            <w:vAlign w:val="center"/>
          </w:tcPr>
          <w:p>
            <w:pPr>
              <w:jc w:val="center"/>
              <w:rPr>
                <w:rFonts w:ascii="仿宋_GB2312" w:eastAsia="仿宋_GB2312"/>
                <w:sz w:val="20"/>
                <w:szCs w:val="20"/>
              </w:rPr>
            </w:pPr>
            <w:r>
              <w:rPr>
                <w:rFonts w:hint="eastAsia" w:ascii="仿宋_GB2312" w:eastAsia="仿宋_GB2312"/>
                <w:sz w:val="20"/>
                <w:szCs w:val="20"/>
              </w:rPr>
              <w:t>3.21:1</w:t>
            </w:r>
          </w:p>
        </w:tc>
        <w:tc>
          <w:tcPr>
            <w:tcW w:w="2037"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西吉县</w:t>
            </w:r>
          </w:p>
        </w:tc>
        <w:tc>
          <w:tcPr>
            <w:tcW w:w="2072" w:type="dxa"/>
            <w:tcBorders>
              <w:top w:val="nil"/>
              <w:left w:val="nil"/>
              <w:bottom w:val="single" w:color="auto" w:sz="4" w:space="0"/>
              <w:right w:val="single" w:color="auto" w:sz="4" w:space="0"/>
            </w:tcBorders>
            <w:vAlign w:val="center"/>
          </w:tcPr>
          <w:p>
            <w:pPr>
              <w:jc w:val="center"/>
              <w:rPr>
                <w:rFonts w:ascii="仿宋_GB2312" w:eastAsia="仿宋_GB2312"/>
                <w:sz w:val="20"/>
                <w:szCs w:val="20"/>
              </w:rPr>
            </w:pPr>
            <w:r>
              <w:rPr>
                <w:rFonts w:hint="eastAsia" w:ascii="仿宋_GB2312" w:eastAsia="仿宋_GB2312"/>
                <w:sz w:val="20"/>
                <w:szCs w:val="20"/>
              </w:rPr>
              <w:t>1.62:1</w:t>
            </w:r>
          </w:p>
        </w:tc>
      </w:tr>
      <w:tr>
        <w:tblPrEx>
          <w:tblLayout w:type="fixed"/>
          <w:tblCellMar>
            <w:top w:w="0" w:type="dxa"/>
            <w:left w:w="108" w:type="dxa"/>
            <w:bottom w:w="0" w:type="dxa"/>
            <w:right w:w="108" w:type="dxa"/>
          </w:tblCellMar>
        </w:tblPrEx>
        <w:trPr>
          <w:trHeight w:val="334" w:hRule="exact"/>
          <w:jc w:val="center"/>
        </w:trPr>
        <w:tc>
          <w:tcPr>
            <w:tcW w:w="2204" w:type="dxa"/>
            <w:tcBorders>
              <w:top w:val="nil"/>
              <w:left w:val="single" w:color="auto" w:sz="4" w:space="0"/>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贺兰县</w:t>
            </w:r>
          </w:p>
        </w:tc>
        <w:tc>
          <w:tcPr>
            <w:tcW w:w="1692" w:type="dxa"/>
            <w:tcBorders>
              <w:top w:val="nil"/>
              <w:left w:val="nil"/>
              <w:bottom w:val="single" w:color="auto" w:sz="4" w:space="0"/>
              <w:right w:val="single" w:color="auto" w:sz="4" w:space="0"/>
            </w:tcBorders>
            <w:vAlign w:val="center"/>
          </w:tcPr>
          <w:p>
            <w:pPr>
              <w:jc w:val="center"/>
              <w:rPr>
                <w:rFonts w:ascii="仿宋_GB2312" w:eastAsia="仿宋_GB2312"/>
                <w:sz w:val="20"/>
                <w:szCs w:val="20"/>
              </w:rPr>
            </w:pPr>
            <w:r>
              <w:rPr>
                <w:rFonts w:hint="eastAsia" w:ascii="仿宋_GB2312" w:eastAsia="仿宋_GB2312"/>
                <w:sz w:val="20"/>
                <w:szCs w:val="20"/>
              </w:rPr>
              <w:t>3.09:1</w:t>
            </w:r>
          </w:p>
        </w:tc>
        <w:tc>
          <w:tcPr>
            <w:tcW w:w="2037"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隆德县</w:t>
            </w:r>
          </w:p>
        </w:tc>
        <w:tc>
          <w:tcPr>
            <w:tcW w:w="2072" w:type="dxa"/>
            <w:tcBorders>
              <w:top w:val="nil"/>
              <w:left w:val="nil"/>
              <w:bottom w:val="single" w:color="auto" w:sz="4" w:space="0"/>
              <w:right w:val="single" w:color="auto" w:sz="4" w:space="0"/>
            </w:tcBorders>
            <w:vAlign w:val="center"/>
          </w:tcPr>
          <w:p>
            <w:pPr>
              <w:jc w:val="center"/>
              <w:rPr>
                <w:rFonts w:ascii="仿宋_GB2312" w:eastAsia="仿宋_GB2312"/>
                <w:sz w:val="20"/>
                <w:szCs w:val="20"/>
              </w:rPr>
            </w:pPr>
            <w:r>
              <w:rPr>
                <w:rFonts w:hint="eastAsia" w:ascii="仿宋_GB2312" w:eastAsia="仿宋_GB2312"/>
                <w:sz w:val="20"/>
                <w:szCs w:val="20"/>
              </w:rPr>
              <w:t>1.34:1</w:t>
            </w:r>
          </w:p>
        </w:tc>
      </w:tr>
      <w:tr>
        <w:tblPrEx>
          <w:tblLayout w:type="fixed"/>
          <w:tblCellMar>
            <w:top w:w="0" w:type="dxa"/>
            <w:left w:w="108" w:type="dxa"/>
            <w:bottom w:w="0" w:type="dxa"/>
            <w:right w:w="108" w:type="dxa"/>
          </w:tblCellMar>
        </w:tblPrEx>
        <w:trPr>
          <w:trHeight w:val="334" w:hRule="exact"/>
          <w:jc w:val="center"/>
        </w:trPr>
        <w:tc>
          <w:tcPr>
            <w:tcW w:w="2204" w:type="dxa"/>
            <w:tcBorders>
              <w:top w:val="nil"/>
              <w:left w:val="single" w:color="auto" w:sz="4" w:space="0"/>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宁东能源化工基地</w:t>
            </w:r>
          </w:p>
        </w:tc>
        <w:tc>
          <w:tcPr>
            <w:tcW w:w="1692" w:type="dxa"/>
            <w:tcBorders>
              <w:top w:val="nil"/>
              <w:left w:val="nil"/>
              <w:bottom w:val="single" w:color="auto" w:sz="4" w:space="0"/>
              <w:right w:val="single" w:color="auto" w:sz="4" w:space="0"/>
            </w:tcBorders>
            <w:vAlign w:val="center"/>
          </w:tcPr>
          <w:p>
            <w:pPr>
              <w:jc w:val="center"/>
              <w:rPr>
                <w:rFonts w:ascii="仿宋_GB2312" w:eastAsia="仿宋_GB2312"/>
                <w:sz w:val="20"/>
                <w:szCs w:val="20"/>
              </w:rPr>
            </w:pPr>
            <w:r>
              <w:rPr>
                <w:rFonts w:hint="eastAsia" w:ascii="仿宋_GB2312" w:eastAsia="仿宋_GB2312"/>
                <w:sz w:val="20"/>
                <w:szCs w:val="20"/>
              </w:rPr>
              <w:t>97.20:1</w:t>
            </w:r>
          </w:p>
        </w:tc>
        <w:tc>
          <w:tcPr>
            <w:tcW w:w="2037"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泾源县</w:t>
            </w:r>
          </w:p>
        </w:tc>
        <w:tc>
          <w:tcPr>
            <w:tcW w:w="2072" w:type="dxa"/>
            <w:tcBorders>
              <w:top w:val="nil"/>
              <w:left w:val="nil"/>
              <w:bottom w:val="single" w:color="auto" w:sz="4" w:space="0"/>
              <w:right w:val="single" w:color="auto" w:sz="4" w:space="0"/>
            </w:tcBorders>
            <w:vAlign w:val="center"/>
          </w:tcPr>
          <w:p>
            <w:pPr>
              <w:jc w:val="center"/>
              <w:rPr>
                <w:rFonts w:ascii="仿宋_GB2312" w:eastAsia="仿宋_GB2312"/>
                <w:sz w:val="20"/>
                <w:szCs w:val="20"/>
              </w:rPr>
            </w:pPr>
            <w:r>
              <w:rPr>
                <w:rFonts w:hint="eastAsia" w:ascii="仿宋_GB2312" w:eastAsia="仿宋_GB2312"/>
                <w:sz w:val="20"/>
                <w:szCs w:val="20"/>
              </w:rPr>
              <w:t>1.82:1</w:t>
            </w:r>
          </w:p>
        </w:tc>
      </w:tr>
      <w:tr>
        <w:tblPrEx>
          <w:tblLayout w:type="fixed"/>
          <w:tblCellMar>
            <w:top w:w="0" w:type="dxa"/>
            <w:left w:w="108" w:type="dxa"/>
            <w:bottom w:w="0" w:type="dxa"/>
            <w:right w:w="108" w:type="dxa"/>
          </w:tblCellMar>
        </w:tblPrEx>
        <w:trPr>
          <w:trHeight w:val="334" w:hRule="exact"/>
          <w:jc w:val="center"/>
        </w:trPr>
        <w:tc>
          <w:tcPr>
            <w:tcW w:w="2204" w:type="dxa"/>
            <w:tcBorders>
              <w:top w:val="nil"/>
              <w:left w:val="single" w:color="auto" w:sz="4" w:space="0"/>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石嘴山市（市本级）</w:t>
            </w:r>
          </w:p>
        </w:tc>
        <w:tc>
          <w:tcPr>
            <w:tcW w:w="1692" w:type="dxa"/>
            <w:tcBorders>
              <w:top w:val="nil"/>
              <w:left w:val="nil"/>
              <w:bottom w:val="single" w:color="auto" w:sz="4" w:space="0"/>
              <w:right w:val="single" w:color="auto" w:sz="4" w:space="0"/>
            </w:tcBorders>
            <w:vAlign w:val="center"/>
          </w:tcPr>
          <w:p>
            <w:pPr>
              <w:jc w:val="center"/>
              <w:rPr>
                <w:rFonts w:ascii="仿宋_GB2312" w:eastAsia="仿宋_GB2312"/>
                <w:sz w:val="20"/>
                <w:szCs w:val="20"/>
              </w:rPr>
            </w:pPr>
            <w:r>
              <w:rPr>
                <w:rFonts w:hint="eastAsia" w:ascii="仿宋_GB2312" w:eastAsia="仿宋_GB2312"/>
                <w:sz w:val="20"/>
                <w:szCs w:val="20"/>
              </w:rPr>
              <w:t>1.87:1</w:t>
            </w:r>
          </w:p>
        </w:tc>
        <w:tc>
          <w:tcPr>
            <w:tcW w:w="2037"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彭阳县</w:t>
            </w:r>
          </w:p>
        </w:tc>
        <w:tc>
          <w:tcPr>
            <w:tcW w:w="2072" w:type="dxa"/>
            <w:tcBorders>
              <w:top w:val="nil"/>
              <w:left w:val="nil"/>
              <w:bottom w:val="single" w:color="auto" w:sz="4" w:space="0"/>
              <w:right w:val="single" w:color="auto" w:sz="4" w:space="0"/>
            </w:tcBorders>
            <w:vAlign w:val="center"/>
          </w:tcPr>
          <w:p>
            <w:pPr>
              <w:jc w:val="center"/>
              <w:rPr>
                <w:rFonts w:ascii="仿宋_GB2312" w:eastAsia="仿宋_GB2312"/>
                <w:sz w:val="20"/>
                <w:szCs w:val="20"/>
              </w:rPr>
            </w:pPr>
            <w:r>
              <w:rPr>
                <w:rFonts w:hint="eastAsia" w:ascii="仿宋_GB2312" w:eastAsia="仿宋_GB2312"/>
                <w:sz w:val="20"/>
                <w:szCs w:val="20"/>
              </w:rPr>
              <w:t>1.66:1</w:t>
            </w:r>
          </w:p>
        </w:tc>
      </w:tr>
      <w:tr>
        <w:tblPrEx>
          <w:tblLayout w:type="fixed"/>
          <w:tblCellMar>
            <w:top w:w="0" w:type="dxa"/>
            <w:left w:w="108" w:type="dxa"/>
            <w:bottom w:w="0" w:type="dxa"/>
            <w:right w:w="108" w:type="dxa"/>
          </w:tblCellMar>
        </w:tblPrEx>
        <w:trPr>
          <w:trHeight w:val="334" w:hRule="exact"/>
          <w:jc w:val="center"/>
        </w:trPr>
        <w:tc>
          <w:tcPr>
            <w:tcW w:w="2204" w:type="dxa"/>
            <w:tcBorders>
              <w:top w:val="nil"/>
              <w:left w:val="single" w:color="auto" w:sz="4" w:space="0"/>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平罗县</w:t>
            </w:r>
          </w:p>
        </w:tc>
        <w:tc>
          <w:tcPr>
            <w:tcW w:w="1692" w:type="dxa"/>
            <w:tcBorders>
              <w:top w:val="nil"/>
              <w:left w:val="nil"/>
              <w:bottom w:val="single" w:color="auto" w:sz="4" w:space="0"/>
              <w:right w:val="single" w:color="auto" w:sz="4" w:space="0"/>
            </w:tcBorders>
            <w:vAlign w:val="center"/>
          </w:tcPr>
          <w:p>
            <w:pPr>
              <w:jc w:val="center"/>
              <w:rPr>
                <w:rFonts w:ascii="仿宋_GB2312" w:eastAsia="仿宋_GB2312"/>
                <w:sz w:val="20"/>
                <w:szCs w:val="20"/>
              </w:rPr>
            </w:pPr>
            <w:r>
              <w:rPr>
                <w:rFonts w:hint="eastAsia" w:ascii="仿宋_GB2312" w:eastAsia="仿宋_GB2312"/>
                <w:sz w:val="20"/>
                <w:szCs w:val="20"/>
              </w:rPr>
              <w:t>1.97:1</w:t>
            </w:r>
          </w:p>
        </w:tc>
        <w:tc>
          <w:tcPr>
            <w:tcW w:w="2037"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中卫市（市本级）</w:t>
            </w:r>
          </w:p>
        </w:tc>
        <w:tc>
          <w:tcPr>
            <w:tcW w:w="2072" w:type="dxa"/>
            <w:tcBorders>
              <w:top w:val="nil"/>
              <w:left w:val="nil"/>
              <w:bottom w:val="single" w:color="auto" w:sz="4" w:space="0"/>
              <w:right w:val="single" w:color="auto" w:sz="4" w:space="0"/>
            </w:tcBorders>
            <w:vAlign w:val="center"/>
          </w:tcPr>
          <w:p>
            <w:pPr>
              <w:jc w:val="center"/>
              <w:rPr>
                <w:rFonts w:ascii="仿宋_GB2312" w:eastAsia="仿宋_GB2312"/>
                <w:sz w:val="20"/>
                <w:szCs w:val="20"/>
              </w:rPr>
            </w:pPr>
            <w:r>
              <w:rPr>
                <w:rFonts w:hint="eastAsia" w:ascii="仿宋_GB2312" w:eastAsia="仿宋_GB2312"/>
                <w:sz w:val="20"/>
                <w:szCs w:val="20"/>
              </w:rPr>
              <w:t>2.21:1</w:t>
            </w:r>
          </w:p>
        </w:tc>
      </w:tr>
      <w:tr>
        <w:tblPrEx>
          <w:tblLayout w:type="fixed"/>
          <w:tblCellMar>
            <w:top w:w="0" w:type="dxa"/>
            <w:left w:w="108" w:type="dxa"/>
            <w:bottom w:w="0" w:type="dxa"/>
            <w:right w:w="108" w:type="dxa"/>
          </w:tblCellMar>
        </w:tblPrEx>
        <w:trPr>
          <w:trHeight w:val="334" w:hRule="exact"/>
          <w:jc w:val="center"/>
        </w:trPr>
        <w:tc>
          <w:tcPr>
            <w:tcW w:w="2204" w:type="dxa"/>
            <w:tcBorders>
              <w:top w:val="nil"/>
              <w:left w:val="single" w:color="auto" w:sz="4" w:space="0"/>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吴忠市（市本级）</w:t>
            </w:r>
          </w:p>
        </w:tc>
        <w:tc>
          <w:tcPr>
            <w:tcW w:w="1692" w:type="dxa"/>
            <w:tcBorders>
              <w:top w:val="nil"/>
              <w:left w:val="nil"/>
              <w:bottom w:val="single" w:color="auto" w:sz="4" w:space="0"/>
              <w:right w:val="single" w:color="auto" w:sz="4" w:space="0"/>
            </w:tcBorders>
            <w:vAlign w:val="center"/>
          </w:tcPr>
          <w:p>
            <w:pPr>
              <w:rPr>
                <w:rFonts w:ascii="仿宋_GB2312" w:eastAsia="仿宋_GB2312"/>
                <w:sz w:val="20"/>
                <w:szCs w:val="20"/>
              </w:rPr>
            </w:pPr>
            <w:r>
              <w:rPr>
                <w:rFonts w:hint="eastAsia" w:ascii="仿宋_GB2312" w:eastAsia="仿宋_GB2312"/>
                <w:sz w:val="20"/>
                <w:szCs w:val="20"/>
              </w:rPr>
              <w:t xml:space="preserve">    2.06:1</w:t>
            </w:r>
          </w:p>
        </w:tc>
        <w:tc>
          <w:tcPr>
            <w:tcW w:w="2037"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中宁县</w:t>
            </w:r>
          </w:p>
        </w:tc>
        <w:tc>
          <w:tcPr>
            <w:tcW w:w="2072" w:type="dxa"/>
            <w:tcBorders>
              <w:top w:val="nil"/>
              <w:left w:val="nil"/>
              <w:bottom w:val="single" w:color="auto" w:sz="4" w:space="0"/>
              <w:right w:val="single" w:color="auto" w:sz="4" w:space="0"/>
            </w:tcBorders>
            <w:vAlign w:val="center"/>
          </w:tcPr>
          <w:p>
            <w:pPr>
              <w:jc w:val="center"/>
              <w:rPr>
                <w:rFonts w:ascii="仿宋_GB2312" w:eastAsia="仿宋_GB2312"/>
                <w:sz w:val="20"/>
                <w:szCs w:val="20"/>
              </w:rPr>
            </w:pPr>
            <w:r>
              <w:rPr>
                <w:rFonts w:hint="eastAsia" w:ascii="仿宋_GB2312" w:eastAsia="仿宋_GB2312"/>
                <w:sz w:val="20"/>
                <w:szCs w:val="20"/>
              </w:rPr>
              <w:t>3.33:1</w:t>
            </w:r>
          </w:p>
        </w:tc>
      </w:tr>
      <w:tr>
        <w:tblPrEx>
          <w:tblLayout w:type="fixed"/>
          <w:tblCellMar>
            <w:top w:w="0" w:type="dxa"/>
            <w:left w:w="108" w:type="dxa"/>
            <w:bottom w:w="0" w:type="dxa"/>
            <w:right w:w="108" w:type="dxa"/>
          </w:tblCellMar>
        </w:tblPrEx>
        <w:trPr>
          <w:trHeight w:val="334" w:hRule="exact"/>
          <w:jc w:val="center"/>
        </w:trPr>
        <w:tc>
          <w:tcPr>
            <w:tcW w:w="2204" w:type="dxa"/>
            <w:tcBorders>
              <w:top w:val="nil"/>
              <w:left w:val="single" w:color="auto" w:sz="4" w:space="0"/>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青铜峡市</w:t>
            </w:r>
          </w:p>
        </w:tc>
        <w:tc>
          <w:tcPr>
            <w:tcW w:w="1692" w:type="dxa"/>
            <w:tcBorders>
              <w:top w:val="nil"/>
              <w:left w:val="nil"/>
              <w:bottom w:val="single" w:color="auto" w:sz="4" w:space="0"/>
              <w:right w:val="single" w:color="auto" w:sz="4" w:space="0"/>
            </w:tcBorders>
            <w:vAlign w:val="center"/>
          </w:tcPr>
          <w:p>
            <w:pPr>
              <w:jc w:val="center"/>
              <w:rPr>
                <w:rFonts w:ascii="仿宋_GB2312" w:eastAsia="仿宋_GB2312"/>
                <w:sz w:val="20"/>
                <w:szCs w:val="20"/>
              </w:rPr>
            </w:pPr>
            <w:r>
              <w:rPr>
                <w:rFonts w:hint="eastAsia" w:ascii="仿宋_GB2312" w:eastAsia="仿宋_GB2312"/>
                <w:sz w:val="20"/>
                <w:szCs w:val="20"/>
              </w:rPr>
              <w:t>2.73:1</w:t>
            </w:r>
          </w:p>
        </w:tc>
        <w:tc>
          <w:tcPr>
            <w:tcW w:w="2037"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海原县</w:t>
            </w:r>
          </w:p>
        </w:tc>
        <w:tc>
          <w:tcPr>
            <w:tcW w:w="2072" w:type="dxa"/>
            <w:tcBorders>
              <w:top w:val="nil"/>
              <w:left w:val="nil"/>
              <w:bottom w:val="single" w:color="auto" w:sz="4" w:space="0"/>
              <w:right w:val="single" w:color="auto" w:sz="4" w:space="0"/>
            </w:tcBorders>
            <w:vAlign w:val="center"/>
          </w:tcPr>
          <w:p>
            <w:pPr>
              <w:jc w:val="center"/>
              <w:rPr>
                <w:rFonts w:ascii="仿宋_GB2312" w:eastAsia="仿宋_GB2312"/>
                <w:sz w:val="20"/>
                <w:szCs w:val="20"/>
              </w:rPr>
            </w:pPr>
            <w:r>
              <w:rPr>
                <w:rFonts w:hint="eastAsia" w:ascii="仿宋_GB2312" w:eastAsia="仿宋_GB2312"/>
                <w:sz w:val="20"/>
                <w:szCs w:val="20"/>
              </w:rPr>
              <w:t>1.03:1</w:t>
            </w:r>
          </w:p>
        </w:tc>
      </w:tr>
      <w:tr>
        <w:tblPrEx>
          <w:tblLayout w:type="fixed"/>
          <w:tblCellMar>
            <w:top w:w="0" w:type="dxa"/>
            <w:left w:w="108" w:type="dxa"/>
            <w:bottom w:w="0" w:type="dxa"/>
            <w:right w:w="108" w:type="dxa"/>
          </w:tblCellMar>
        </w:tblPrEx>
        <w:trPr>
          <w:trHeight w:val="334" w:hRule="exact"/>
          <w:jc w:val="center"/>
        </w:trPr>
        <w:tc>
          <w:tcPr>
            <w:tcW w:w="2204" w:type="dxa"/>
            <w:tcBorders>
              <w:top w:val="nil"/>
              <w:left w:val="single" w:color="auto" w:sz="4" w:space="0"/>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盐池县</w:t>
            </w:r>
          </w:p>
        </w:tc>
        <w:tc>
          <w:tcPr>
            <w:tcW w:w="1692" w:type="dxa"/>
            <w:tcBorders>
              <w:top w:val="nil"/>
              <w:left w:val="nil"/>
              <w:bottom w:val="single" w:color="auto" w:sz="4" w:space="0"/>
              <w:right w:val="single" w:color="auto" w:sz="4" w:space="0"/>
            </w:tcBorders>
            <w:vAlign w:val="center"/>
          </w:tcPr>
          <w:p>
            <w:pPr>
              <w:jc w:val="center"/>
              <w:rPr>
                <w:rFonts w:ascii="仿宋_GB2312" w:eastAsia="仿宋_GB2312"/>
                <w:sz w:val="20"/>
                <w:szCs w:val="20"/>
              </w:rPr>
            </w:pPr>
            <w:r>
              <w:rPr>
                <w:rFonts w:hint="eastAsia" w:ascii="仿宋_GB2312" w:eastAsia="仿宋_GB2312"/>
                <w:sz w:val="20"/>
                <w:szCs w:val="20"/>
              </w:rPr>
              <w:t>2.93:1</w:t>
            </w:r>
          </w:p>
        </w:tc>
        <w:tc>
          <w:tcPr>
            <w:tcW w:w="2037"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区本级</w:t>
            </w:r>
          </w:p>
        </w:tc>
        <w:tc>
          <w:tcPr>
            <w:tcW w:w="2072" w:type="dxa"/>
            <w:tcBorders>
              <w:top w:val="nil"/>
              <w:left w:val="nil"/>
              <w:bottom w:val="single" w:color="auto" w:sz="4" w:space="0"/>
              <w:right w:val="single" w:color="auto" w:sz="4" w:space="0"/>
            </w:tcBorders>
            <w:vAlign w:val="center"/>
          </w:tcPr>
          <w:p>
            <w:pPr>
              <w:jc w:val="center"/>
              <w:rPr>
                <w:rFonts w:ascii="仿宋_GB2312" w:eastAsia="仿宋_GB2312"/>
                <w:sz w:val="20"/>
                <w:szCs w:val="20"/>
              </w:rPr>
            </w:pPr>
            <w:r>
              <w:rPr>
                <w:rFonts w:hint="eastAsia" w:ascii="仿宋_GB2312" w:eastAsia="仿宋_GB2312"/>
                <w:sz w:val="20"/>
                <w:szCs w:val="20"/>
              </w:rPr>
              <w:t>1.36:1</w:t>
            </w:r>
          </w:p>
        </w:tc>
      </w:tr>
      <w:tr>
        <w:tblPrEx>
          <w:tblLayout w:type="fixed"/>
          <w:tblCellMar>
            <w:top w:w="0" w:type="dxa"/>
            <w:left w:w="108" w:type="dxa"/>
            <w:bottom w:w="0" w:type="dxa"/>
            <w:right w:w="108" w:type="dxa"/>
          </w:tblCellMar>
        </w:tblPrEx>
        <w:trPr>
          <w:trHeight w:val="334" w:hRule="exact"/>
          <w:jc w:val="center"/>
        </w:trPr>
        <w:tc>
          <w:tcPr>
            <w:tcW w:w="2204" w:type="dxa"/>
            <w:tcBorders>
              <w:top w:val="nil"/>
              <w:left w:val="single" w:color="auto" w:sz="4" w:space="0"/>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同心县</w:t>
            </w:r>
          </w:p>
        </w:tc>
        <w:tc>
          <w:tcPr>
            <w:tcW w:w="1692" w:type="dxa"/>
            <w:tcBorders>
              <w:top w:val="nil"/>
              <w:left w:val="nil"/>
              <w:bottom w:val="single" w:color="auto" w:sz="4" w:space="0"/>
              <w:right w:val="single" w:color="auto" w:sz="4" w:space="0"/>
            </w:tcBorders>
            <w:vAlign w:val="center"/>
          </w:tcPr>
          <w:p>
            <w:pPr>
              <w:jc w:val="center"/>
              <w:rPr>
                <w:rFonts w:ascii="仿宋_GB2312" w:eastAsia="仿宋_GB2312"/>
                <w:sz w:val="20"/>
                <w:szCs w:val="20"/>
              </w:rPr>
            </w:pPr>
            <w:r>
              <w:rPr>
                <w:rFonts w:hint="eastAsia" w:ascii="仿宋_GB2312" w:eastAsia="仿宋_GB2312"/>
                <w:sz w:val="20"/>
                <w:szCs w:val="20"/>
              </w:rPr>
              <w:t>1.06:1</w:t>
            </w:r>
          </w:p>
        </w:tc>
        <w:tc>
          <w:tcPr>
            <w:tcW w:w="2037" w:type="dxa"/>
            <w:tcBorders>
              <w:top w:val="nil"/>
              <w:left w:val="nil"/>
              <w:bottom w:val="single" w:color="auto" w:sz="4" w:space="0"/>
              <w:right w:val="single" w:color="auto" w:sz="4" w:space="0"/>
            </w:tcBorders>
            <w:vAlign w:val="center"/>
          </w:tcPr>
          <w:p>
            <w:pPr>
              <w:jc w:val="center"/>
              <w:rPr>
                <w:rFonts w:ascii="仿宋_GB2312" w:eastAsia="仿宋_GB2312"/>
                <w:szCs w:val="21"/>
              </w:rPr>
            </w:pPr>
          </w:p>
        </w:tc>
        <w:tc>
          <w:tcPr>
            <w:tcW w:w="2072" w:type="dxa"/>
            <w:tcBorders>
              <w:top w:val="nil"/>
              <w:left w:val="nil"/>
              <w:bottom w:val="single" w:color="auto" w:sz="4" w:space="0"/>
              <w:right w:val="single" w:color="auto" w:sz="4" w:space="0"/>
            </w:tcBorders>
            <w:vAlign w:val="center"/>
          </w:tcPr>
          <w:p>
            <w:pPr>
              <w:jc w:val="center"/>
              <w:rPr>
                <w:rFonts w:ascii="仿宋_GB2312" w:eastAsia="仿宋_GB2312"/>
                <w:szCs w:val="21"/>
              </w:rPr>
            </w:pPr>
          </w:p>
        </w:tc>
      </w:tr>
    </w:tbl>
    <w:p>
      <w:pPr>
        <w:spacing w:line="560" w:lineRule="exact"/>
        <w:ind w:firstLine="643" w:firstLineChars="200"/>
        <w:rPr>
          <w:rFonts w:ascii="仿宋_GB2312" w:eastAsia="仿宋_GB2312"/>
          <w:b/>
          <w:sz w:val="32"/>
          <w:szCs w:val="32"/>
        </w:rPr>
      </w:pPr>
      <w:r>
        <w:rPr>
          <w:rFonts w:hint="eastAsia" w:ascii="仿宋_GB2312" w:eastAsia="仿宋_GB2312"/>
          <w:b/>
          <w:sz w:val="32"/>
          <w:szCs w:val="32"/>
        </w:rPr>
        <w:t>2.缴费人数情况</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截至2021年底，城镇企业职工基本养老保险缴费人数为129.3万人，比上年增加7.42万人，增长6.09%；比2017年增加26.97万人，年平均增长6.02%。</w:t>
      </w:r>
    </w:p>
    <w:p>
      <w:pPr>
        <w:rPr>
          <w:rFonts w:ascii="仿宋_GB2312" w:eastAsia="仿宋_GB2312"/>
          <w:sz w:val="32"/>
          <w:szCs w:val="32"/>
        </w:rPr>
      </w:pPr>
      <w:r>
        <w:rPr>
          <w:rFonts w:hint="eastAsia" w:ascii="仿宋_GB2312" w:eastAsia="仿宋_GB2312"/>
          <w:sz w:val="32"/>
          <w:szCs w:val="32"/>
        </w:rPr>
        <w:drawing>
          <wp:inline distT="0" distB="0" distL="0" distR="0">
            <wp:extent cx="5619115" cy="2910205"/>
            <wp:effectExtent l="19050" t="19050" r="19685" b="2349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5">
                      <a:extLst>
                        <a:ext uri="{28A0092B-C50C-407E-A947-70E740481C1C}">
                          <a14:useLocalDpi xmlns:a14="http://schemas.microsoft.com/office/drawing/2010/main" val="0"/>
                        </a:ext>
                      </a:extLst>
                    </a:blip>
                    <a:srcRect l="1136" t="2624" r="1770" b="2421"/>
                    <a:stretch>
                      <a:fillRect/>
                    </a:stretch>
                  </pic:blipFill>
                  <pic:spPr>
                    <a:xfrm>
                      <a:off x="0" y="0"/>
                      <a:ext cx="5622259" cy="2911705"/>
                    </a:xfrm>
                    <a:prstGeom prst="rect">
                      <a:avLst/>
                    </a:prstGeom>
                    <a:noFill/>
                    <a:ln w="9525">
                      <a:solidFill>
                        <a:schemeClr val="tx1"/>
                      </a:solidFill>
                    </a:ln>
                  </pic:spPr>
                </pic:pic>
              </a:graphicData>
            </a:graphic>
          </wp:inline>
        </w:drawing>
      </w:r>
    </w:p>
    <w:p>
      <w:pPr>
        <w:pStyle w:val="4"/>
        <w:jc w:val="center"/>
        <w:rPr>
          <w:rFonts w:ascii="仿宋_GB2312" w:hAnsi="Times New Roman" w:eastAsia="仿宋_GB2312"/>
          <w:sz w:val="28"/>
          <w:szCs w:val="28"/>
        </w:rPr>
      </w:pPr>
      <w:r>
        <w:rPr>
          <w:rFonts w:hint="eastAsia" w:ascii="仿宋_GB2312" w:hAnsi="Times New Roman" w:eastAsia="仿宋_GB2312"/>
          <w:sz w:val="28"/>
          <w:szCs w:val="28"/>
        </w:rPr>
        <w:t>图1-7：2017年-2021年城镇企业职工参保缴费人数及增长率对比图</w:t>
      </w:r>
    </w:p>
    <w:p>
      <w:pPr>
        <w:autoSpaceDE w:val="0"/>
        <w:autoSpaceDN w:val="0"/>
        <w:adjustRightInd w:val="0"/>
        <w:spacing w:line="360" w:lineRule="exact"/>
        <w:jc w:val="center"/>
        <w:rPr>
          <w:rFonts w:ascii="仿宋_GB2312" w:eastAsia="仿宋_GB2312"/>
          <w:kern w:val="0"/>
          <w:sz w:val="30"/>
          <w:szCs w:val="30"/>
        </w:rPr>
      </w:pPr>
    </w:p>
    <w:p>
      <w:pPr>
        <w:autoSpaceDE w:val="0"/>
        <w:autoSpaceDN w:val="0"/>
        <w:adjustRightInd w:val="0"/>
        <w:spacing w:line="360" w:lineRule="exact"/>
        <w:jc w:val="center"/>
        <w:rPr>
          <w:rFonts w:ascii="仿宋_GB2312" w:eastAsia="仿宋_GB2312"/>
          <w:kern w:val="0"/>
          <w:sz w:val="28"/>
          <w:szCs w:val="28"/>
        </w:rPr>
      </w:pPr>
      <w:r>
        <w:rPr>
          <w:rFonts w:hint="eastAsia" w:ascii="仿宋_GB2312" w:eastAsia="仿宋_GB2312"/>
          <w:kern w:val="0"/>
          <w:sz w:val="28"/>
          <w:szCs w:val="28"/>
        </w:rPr>
        <w:t>表1-3：2021年分市县城镇企业职工基本养老保险缴费人数情况表</w:t>
      </w:r>
    </w:p>
    <w:p>
      <w:pPr>
        <w:autoSpaceDE w:val="0"/>
        <w:autoSpaceDN w:val="0"/>
        <w:adjustRightInd w:val="0"/>
        <w:spacing w:line="360" w:lineRule="exact"/>
        <w:ind w:firstLine="618" w:firstLineChars="221"/>
        <w:rPr>
          <w:rFonts w:ascii="仿宋_GB2312" w:eastAsia="仿宋_GB2312"/>
          <w:sz w:val="28"/>
          <w:szCs w:val="28"/>
        </w:rPr>
      </w:pPr>
      <w:r>
        <w:rPr>
          <w:rFonts w:hint="eastAsia" w:ascii="仿宋_GB2312" w:eastAsia="仿宋_GB2312"/>
          <w:sz w:val="28"/>
          <w:szCs w:val="28"/>
        </w:rPr>
        <w:t xml:space="preserve">                                           单位：万人</w:t>
      </w:r>
    </w:p>
    <w:tbl>
      <w:tblPr>
        <w:tblStyle w:val="23"/>
        <w:tblW w:w="8217" w:type="dxa"/>
        <w:jc w:val="center"/>
        <w:tblInd w:w="0" w:type="dxa"/>
        <w:tblLayout w:type="fixed"/>
        <w:tblCellMar>
          <w:top w:w="0" w:type="dxa"/>
          <w:left w:w="108" w:type="dxa"/>
          <w:bottom w:w="0" w:type="dxa"/>
          <w:right w:w="108" w:type="dxa"/>
        </w:tblCellMar>
      </w:tblPr>
      <w:tblGrid>
        <w:gridCol w:w="2049"/>
        <w:gridCol w:w="1926"/>
        <w:gridCol w:w="2098"/>
        <w:gridCol w:w="2144"/>
      </w:tblGrid>
      <w:tr>
        <w:tblPrEx>
          <w:tblLayout w:type="fixed"/>
          <w:tblCellMar>
            <w:top w:w="0" w:type="dxa"/>
            <w:left w:w="108" w:type="dxa"/>
            <w:bottom w:w="0" w:type="dxa"/>
            <w:right w:w="108" w:type="dxa"/>
          </w:tblCellMar>
        </w:tblPrEx>
        <w:trPr>
          <w:trHeight w:val="475" w:hRule="atLeast"/>
          <w:jc w:val="center"/>
        </w:trPr>
        <w:tc>
          <w:tcPr>
            <w:tcW w:w="204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eastAsia="仿宋_GB2312"/>
                <w:color w:val="000000"/>
                <w:kern w:val="0"/>
                <w:szCs w:val="21"/>
              </w:rPr>
            </w:pPr>
            <w:r>
              <w:rPr>
                <w:rFonts w:hint="eastAsia" w:ascii="仿宋_GB2312" w:eastAsia="仿宋_GB2312"/>
                <w:color w:val="000000"/>
                <w:kern w:val="0"/>
                <w:szCs w:val="21"/>
              </w:rPr>
              <w:t>市县</w:t>
            </w:r>
          </w:p>
        </w:tc>
        <w:tc>
          <w:tcPr>
            <w:tcW w:w="1926" w:type="dxa"/>
            <w:tcBorders>
              <w:top w:val="single" w:color="auto" w:sz="4" w:space="0"/>
              <w:left w:val="nil"/>
              <w:bottom w:val="single" w:color="auto" w:sz="4" w:space="0"/>
              <w:right w:val="single" w:color="auto" w:sz="4" w:space="0"/>
            </w:tcBorders>
            <w:vAlign w:val="center"/>
          </w:tcPr>
          <w:p>
            <w:pPr>
              <w:widowControl/>
              <w:jc w:val="center"/>
              <w:rPr>
                <w:rFonts w:ascii="仿宋_GB2312" w:eastAsia="仿宋_GB2312"/>
                <w:color w:val="000000"/>
                <w:kern w:val="0"/>
                <w:szCs w:val="21"/>
              </w:rPr>
            </w:pPr>
            <w:r>
              <w:rPr>
                <w:rFonts w:hint="eastAsia" w:ascii="仿宋_GB2312" w:eastAsia="仿宋_GB2312"/>
                <w:color w:val="000000"/>
                <w:kern w:val="0"/>
                <w:szCs w:val="21"/>
              </w:rPr>
              <w:t>缴费人数</w:t>
            </w:r>
          </w:p>
        </w:tc>
        <w:tc>
          <w:tcPr>
            <w:tcW w:w="2098" w:type="dxa"/>
            <w:tcBorders>
              <w:top w:val="single" w:color="auto" w:sz="4" w:space="0"/>
              <w:left w:val="nil"/>
              <w:bottom w:val="single" w:color="auto" w:sz="4" w:space="0"/>
              <w:right w:val="single" w:color="auto" w:sz="4" w:space="0"/>
            </w:tcBorders>
            <w:vAlign w:val="center"/>
          </w:tcPr>
          <w:p>
            <w:pPr>
              <w:widowControl/>
              <w:jc w:val="center"/>
              <w:rPr>
                <w:rFonts w:ascii="仿宋_GB2312" w:eastAsia="仿宋_GB2312"/>
                <w:color w:val="000000"/>
                <w:kern w:val="0"/>
                <w:szCs w:val="21"/>
              </w:rPr>
            </w:pPr>
            <w:r>
              <w:rPr>
                <w:rFonts w:hint="eastAsia" w:ascii="仿宋_GB2312" w:eastAsia="仿宋_GB2312"/>
                <w:color w:val="000000"/>
                <w:kern w:val="0"/>
                <w:szCs w:val="21"/>
              </w:rPr>
              <w:t>市县</w:t>
            </w:r>
          </w:p>
        </w:tc>
        <w:tc>
          <w:tcPr>
            <w:tcW w:w="2144" w:type="dxa"/>
            <w:tcBorders>
              <w:top w:val="single" w:color="auto" w:sz="4" w:space="0"/>
              <w:left w:val="nil"/>
              <w:bottom w:val="single" w:color="auto" w:sz="4" w:space="0"/>
              <w:right w:val="single" w:color="auto" w:sz="4" w:space="0"/>
            </w:tcBorders>
            <w:vAlign w:val="center"/>
          </w:tcPr>
          <w:p>
            <w:pPr>
              <w:widowControl/>
              <w:jc w:val="center"/>
              <w:rPr>
                <w:rFonts w:ascii="仿宋_GB2312" w:eastAsia="仿宋_GB2312"/>
                <w:color w:val="000000"/>
                <w:kern w:val="0"/>
                <w:szCs w:val="21"/>
              </w:rPr>
            </w:pPr>
            <w:r>
              <w:rPr>
                <w:rFonts w:hint="eastAsia" w:ascii="仿宋_GB2312" w:eastAsia="仿宋_GB2312"/>
                <w:color w:val="000000"/>
                <w:kern w:val="0"/>
                <w:szCs w:val="21"/>
              </w:rPr>
              <w:t>缴费人数</w:t>
            </w:r>
          </w:p>
        </w:tc>
      </w:tr>
      <w:tr>
        <w:tblPrEx>
          <w:tblLayout w:type="fixed"/>
          <w:tblCellMar>
            <w:top w:w="0" w:type="dxa"/>
            <w:left w:w="108" w:type="dxa"/>
            <w:bottom w:w="0" w:type="dxa"/>
            <w:right w:w="108" w:type="dxa"/>
          </w:tblCellMar>
        </w:tblPrEx>
        <w:trPr>
          <w:trHeight w:val="454" w:hRule="atLeast"/>
          <w:jc w:val="center"/>
        </w:trPr>
        <w:tc>
          <w:tcPr>
            <w:tcW w:w="2049" w:type="dxa"/>
            <w:tcBorders>
              <w:top w:val="nil"/>
              <w:left w:val="single" w:color="auto" w:sz="4" w:space="0"/>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银川市（市本级）</w:t>
            </w:r>
          </w:p>
        </w:tc>
        <w:tc>
          <w:tcPr>
            <w:tcW w:w="1926" w:type="dxa"/>
            <w:tcBorders>
              <w:top w:val="nil"/>
              <w:left w:val="nil"/>
              <w:bottom w:val="single" w:color="auto" w:sz="4" w:space="0"/>
              <w:right w:val="single" w:color="auto" w:sz="4" w:space="0"/>
            </w:tcBorders>
            <w:vAlign w:val="center"/>
          </w:tcPr>
          <w:p>
            <w:pPr>
              <w:jc w:val="center"/>
              <w:rPr>
                <w:rFonts w:ascii="仿宋_GB2312" w:eastAsia="仿宋_GB2312"/>
                <w:color w:val="000000"/>
                <w:sz w:val="20"/>
                <w:szCs w:val="20"/>
              </w:rPr>
            </w:pPr>
            <w:r>
              <w:rPr>
                <w:rFonts w:hint="eastAsia" w:ascii="仿宋_GB2312" w:eastAsia="仿宋_GB2312"/>
                <w:color w:val="000000"/>
                <w:sz w:val="20"/>
                <w:szCs w:val="20"/>
              </w:rPr>
              <w:t xml:space="preserve">52.58  </w:t>
            </w:r>
          </w:p>
        </w:tc>
        <w:tc>
          <w:tcPr>
            <w:tcW w:w="2098"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红寺堡</w:t>
            </w:r>
          </w:p>
        </w:tc>
        <w:tc>
          <w:tcPr>
            <w:tcW w:w="2144" w:type="dxa"/>
            <w:tcBorders>
              <w:top w:val="nil"/>
              <w:left w:val="nil"/>
              <w:bottom w:val="single" w:color="auto" w:sz="4" w:space="0"/>
              <w:right w:val="single" w:color="auto" w:sz="4" w:space="0"/>
            </w:tcBorders>
            <w:vAlign w:val="center"/>
          </w:tcPr>
          <w:p>
            <w:pPr>
              <w:jc w:val="center"/>
              <w:rPr>
                <w:rFonts w:ascii="仿宋_GB2312" w:eastAsia="仿宋_GB2312"/>
                <w:color w:val="000000"/>
                <w:sz w:val="20"/>
                <w:szCs w:val="20"/>
              </w:rPr>
            </w:pPr>
            <w:r>
              <w:rPr>
                <w:rFonts w:hint="eastAsia" w:ascii="仿宋_GB2312" w:eastAsia="仿宋_GB2312"/>
                <w:color w:val="000000"/>
                <w:sz w:val="20"/>
                <w:szCs w:val="20"/>
              </w:rPr>
              <w:t>0.43</w:t>
            </w:r>
          </w:p>
        </w:tc>
      </w:tr>
      <w:tr>
        <w:tblPrEx>
          <w:tblLayout w:type="fixed"/>
          <w:tblCellMar>
            <w:top w:w="0" w:type="dxa"/>
            <w:left w:w="108" w:type="dxa"/>
            <w:bottom w:w="0" w:type="dxa"/>
            <w:right w:w="108" w:type="dxa"/>
          </w:tblCellMar>
        </w:tblPrEx>
        <w:trPr>
          <w:trHeight w:val="454" w:hRule="atLeast"/>
          <w:jc w:val="center"/>
        </w:trPr>
        <w:tc>
          <w:tcPr>
            <w:tcW w:w="2049" w:type="dxa"/>
            <w:tcBorders>
              <w:top w:val="nil"/>
              <w:left w:val="single" w:color="auto" w:sz="4" w:space="0"/>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灵武市</w:t>
            </w:r>
          </w:p>
        </w:tc>
        <w:tc>
          <w:tcPr>
            <w:tcW w:w="1926" w:type="dxa"/>
            <w:tcBorders>
              <w:top w:val="nil"/>
              <w:left w:val="nil"/>
              <w:bottom w:val="single" w:color="auto" w:sz="4" w:space="0"/>
              <w:right w:val="single" w:color="auto" w:sz="4" w:space="0"/>
            </w:tcBorders>
            <w:vAlign w:val="center"/>
          </w:tcPr>
          <w:p>
            <w:pPr>
              <w:jc w:val="center"/>
              <w:rPr>
                <w:rFonts w:ascii="仿宋_GB2312" w:eastAsia="仿宋_GB2312"/>
                <w:color w:val="000000"/>
                <w:sz w:val="20"/>
                <w:szCs w:val="20"/>
              </w:rPr>
            </w:pPr>
            <w:r>
              <w:rPr>
                <w:rFonts w:hint="eastAsia" w:ascii="仿宋_GB2312" w:eastAsia="仿宋_GB2312"/>
                <w:color w:val="000000"/>
                <w:sz w:val="20"/>
                <w:szCs w:val="20"/>
              </w:rPr>
              <w:t xml:space="preserve">2.90  </w:t>
            </w:r>
          </w:p>
        </w:tc>
        <w:tc>
          <w:tcPr>
            <w:tcW w:w="2098"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固原市（市本级）</w:t>
            </w:r>
          </w:p>
        </w:tc>
        <w:tc>
          <w:tcPr>
            <w:tcW w:w="2144" w:type="dxa"/>
            <w:tcBorders>
              <w:top w:val="nil"/>
              <w:left w:val="nil"/>
              <w:bottom w:val="single" w:color="auto" w:sz="4" w:space="0"/>
              <w:right w:val="single" w:color="auto" w:sz="4" w:space="0"/>
            </w:tcBorders>
            <w:vAlign w:val="center"/>
          </w:tcPr>
          <w:p>
            <w:pPr>
              <w:jc w:val="center"/>
              <w:rPr>
                <w:rFonts w:ascii="仿宋_GB2312" w:eastAsia="仿宋_GB2312"/>
                <w:color w:val="000000"/>
                <w:sz w:val="20"/>
                <w:szCs w:val="20"/>
              </w:rPr>
            </w:pPr>
            <w:r>
              <w:rPr>
                <w:rFonts w:hint="eastAsia" w:ascii="仿宋_GB2312" w:eastAsia="仿宋_GB2312"/>
                <w:color w:val="000000"/>
                <w:sz w:val="20"/>
                <w:szCs w:val="20"/>
              </w:rPr>
              <w:t>3.99</w:t>
            </w:r>
          </w:p>
        </w:tc>
      </w:tr>
      <w:tr>
        <w:tblPrEx>
          <w:tblLayout w:type="fixed"/>
          <w:tblCellMar>
            <w:top w:w="0" w:type="dxa"/>
            <w:left w:w="108" w:type="dxa"/>
            <w:bottom w:w="0" w:type="dxa"/>
            <w:right w:w="108" w:type="dxa"/>
          </w:tblCellMar>
        </w:tblPrEx>
        <w:trPr>
          <w:trHeight w:val="454" w:hRule="atLeast"/>
          <w:jc w:val="center"/>
        </w:trPr>
        <w:tc>
          <w:tcPr>
            <w:tcW w:w="2049" w:type="dxa"/>
            <w:tcBorders>
              <w:top w:val="nil"/>
              <w:left w:val="single" w:color="auto" w:sz="4" w:space="0"/>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永宁县</w:t>
            </w:r>
          </w:p>
        </w:tc>
        <w:tc>
          <w:tcPr>
            <w:tcW w:w="1926" w:type="dxa"/>
            <w:tcBorders>
              <w:top w:val="nil"/>
              <w:left w:val="nil"/>
              <w:bottom w:val="single" w:color="auto" w:sz="4" w:space="0"/>
              <w:right w:val="single" w:color="auto" w:sz="4" w:space="0"/>
            </w:tcBorders>
            <w:vAlign w:val="center"/>
          </w:tcPr>
          <w:p>
            <w:pPr>
              <w:jc w:val="center"/>
              <w:rPr>
                <w:rFonts w:ascii="仿宋_GB2312" w:eastAsia="仿宋_GB2312"/>
                <w:color w:val="000000"/>
                <w:sz w:val="20"/>
                <w:szCs w:val="20"/>
              </w:rPr>
            </w:pPr>
            <w:r>
              <w:rPr>
                <w:rFonts w:hint="eastAsia" w:ascii="仿宋_GB2312" w:eastAsia="仿宋_GB2312"/>
                <w:color w:val="000000"/>
                <w:sz w:val="20"/>
                <w:szCs w:val="20"/>
              </w:rPr>
              <w:t>4.53</w:t>
            </w:r>
          </w:p>
        </w:tc>
        <w:tc>
          <w:tcPr>
            <w:tcW w:w="2098"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西吉县</w:t>
            </w:r>
          </w:p>
        </w:tc>
        <w:tc>
          <w:tcPr>
            <w:tcW w:w="2144" w:type="dxa"/>
            <w:tcBorders>
              <w:top w:val="nil"/>
              <w:left w:val="nil"/>
              <w:bottom w:val="single" w:color="auto" w:sz="4" w:space="0"/>
              <w:right w:val="single" w:color="auto" w:sz="4" w:space="0"/>
            </w:tcBorders>
            <w:vAlign w:val="center"/>
          </w:tcPr>
          <w:p>
            <w:pPr>
              <w:jc w:val="center"/>
              <w:rPr>
                <w:rFonts w:ascii="仿宋_GB2312" w:eastAsia="仿宋_GB2312"/>
                <w:color w:val="000000"/>
                <w:sz w:val="20"/>
                <w:szCs w:val="20"/>
              </w:rPr>
            </w:pPr>
            <w:r>
              <w:rPr>
                <w:rFonts w:hint="eastAsia" w:ascii="仿宋_GB2312" w:eastAsia="仿宋_GB2312"/>
                <w:color w:val="000000"/>
                <w:sz w:val="20"/>
                <w:szCs w:val="20"/>
              </w:rPr>
              <w:t>1.01</w:t>
            </w:r>
          </w:p>
        </w:tc>
      </w:tr>
      <w:tr>
        <w:tblPrEx>
          <w:tblLayout w:type="fixed"/>
          <w:tblCellMar>
            <w:top w:w="0" w:type="dxa"/>
            <w:left w:w="108" w:type="dxa"/>
            <w:bottom w:w="0" w:type="dxa"/>
            <w:right w:w="108" w:type="dxa"/>
          </w:tblCellMar>
        </w:tblPrEx>
        <w:trPr>
          <w:trHeight w:val="454" w:hRule="atLeast"/>
          <w:jc w:val="center"/>
        </w:trPr>
        <w:tc>
          <w:tcPr>
            <w:tcW w:w="2049" w:type="dxa"/>
            <w:tcBorders>
              <w:top w:val="nil"/>
              <w:left w:val="single" w:color="auto" w:sz="4" w:space="0"/>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贺兰县</w:t>
            </w:r>
          </w:p>
        </w:tc>
        <w:tc>
          <w:tcPr>
            <w:tcW w:w="1926" w:type="dxa"/>
            <w:tcBorders>
              <w:top w:val="nil"/>
              <w:left w:val="nil"/>
              <w:bottom w:val="single" w:color="auto" w:sz="4" w:space="0"/>
              <w:right w:val="single" w:color="auto" w:sz="4" w:space="0"/>
            </w:tcBorders>
            <w:vAlign w:val="center"/>
          </w:tcPr>
          <w:p>
            <w:pPr>
              <w:jc w:val="center"/>
              <w:rPr>
                <w:rFonts w:ascii="仿宋_GB2312" w:eastAsia="仿宋_GB2312"/>
                <w:color w:val="000000"/>
                <w:sz w:val="20"/>
                <w:szCs w:val="20"/>
              </w:rPr>
            </w:pPr>
            <w:r>
              <w:rPr>
                <w:rFonts w:hint="eastAsia" w:ascii="仿宋_GB2312" w:eastAsia="仿宋_GB2312"/>
                <w:color w:val="000000"/>
                <w:sz w:val="20"/>
                <w:szCs w:val="20"/>
              </w:rPr>
              <w:t>4.33</w:t>
            </w:r>
          </w:p>
        </w:tc>
        <w:tc>
          <w:tcPr>
            <w:tcW w:w="2098"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隆德县</w:t>
            </w:r>
          </w:p>
        </w:tc>
        <w:tc>
          <w:tcPr>
            <w:tcW w:w="2144" w:type="dxa"/>
            <w:tcBorders>
              <w:top w:val="nil"/>
              <w:left w:val="nil"/>
              <w:bottom w:val="single" w:color="auto" w:sz="4" w:space="0"/>
              <w:right w:val="single" w:color="auto" w:sz="4" w:space="0"/>
            </w:tcBorders>
            <w:vAlign w:val="center"/>
          </w:tcPr>
          <w:p>
            <w:pPr>
              <w:jc w:val="center"/>
              <w:rPr>
                <w:rFonts w:ascii="仿宋_GB2312" w:eastAsia="仿宋_GB2312"/>
                <w:color w:val="000000"/>
                <w:sz w:val="20"/>
                <w:szCs w:val="20"/>
              </w:rPr>
            </w:pPr>
            <w:r>
              <w:rPr>
                <w:rFonts w:hint="eastAsia" w:ascii="仿宋_GB2312" w:eastAsia="仿宋_GB2312"/>
                <w:color w:val="000000"/>
                <w:sz w:val="20"/>
                <w:szCs w:val="20"/>
              </w:rPr>
              <w:t>0.54</w:t>
            </w:r>
          </w:p>
        </w:tc>
      </w:tr>
      <w:tr>
        <w:tblPrEx>
          <w:tblLayout w:type="fixed"/>
          <w:tblCellMar>
            <w:top w:w="0" w:type="dxa"/>
            <w:left w:w="108" w:type="dxa"/>
            <w:bottom w:w="0" w:type="dxa"/>
            <w:right w:w="108" w:type="dxa"/>
          </w:tblCellMar>
        </w:tblPrEx>
        <w:trPr>
          <w:trHeight w:val="454" w:hRule="atLeast"/>
          <w:jc w:val="center"/>
        </w:trPr>
        <w:tc>
          <w:tcPr>
            <w:tcW w:w="2049" w:type="dxa"/>
            <w:tcBorders>
              <w:top w:val="nil"/>
              <w:left w:val="single" w:color="auto" w:sz="4" w:space="0"/>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宁东能源化工基地</w:t>
            </w:r>
          </w:p>
        </w:tc>
        <w:tc>
          <w:tcPr>
            <w:tcW w:w="1926" w:type="dxa"/>
            <w:tcBorders>
              <w:top w:val="nil"/>
              <w:left w:val="nil"/>
              <w:bottom w:val="single" w:color="auto" w:sz="4" w:space="0"/>
              <w:right w:val="single" w:color="auto" w:sz="4" w:space="0"/>
            </w:tcBorders>
            <w:vAlign w:val="center"/>
          </w:tcPr>
          <w:p>
            <w:pPr>
              <w:jc w:val="center"/>
              <w:rPr>
                <w:rFonts w:ascii="仿宋_GB2312" w:eastAsia="仿宋_GB2312"/>
                <w:color w:val="000000"/>
                <w:sz w:val="20"/>
                <w:szCs w:val="20"/>
              </w:rPr>
            </w:pPr>
            <w:r>
              <w:rPr>
                <w:rFonts w:hint="eastAsia" w:ascii="仿宋_GB2312" w:eastAsia="仿宋_GB2312"/>
                <w:color w:val="000000"/>
                <w:sz w:val="20"/>
                <w:szCs w:val="20"/>
              </w:rPr>
              <w:t xml:space="preserve">2.15 </w:t>
            </w:r>
          </w:p>
        </w:tc>
        <w:tc>
          <w:tcPr>
            <w:tcW w:w="2098"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泾源县</w:t>
            </w:r>
          </w:p>
        </w:tc>
        <w:tc>
          <w:tcPr>
            <w:tcW w:w="2144" w:type="dxa"/>
            <w:tcBorders>
              <w:top w:val="nil"/>
              <w:left w:val="nil"/>
              <w:bottom w:val="single" w:color="auto" w:sz="4" w:space="0"/>
              <w:right w:val="single" w:color="auto" w:sz="4" w:space="0"/>
            </w:tcBorders>
            <w:vAlign w:val="center"/>
          </w:tcPr>
          <w:p>
            <w:pPr>
              <w:jc w:val="center"/>
              <w:rPr>
                <w:rFonts w:ascii="仿宋_GB2312" w:eastAsia="仿宋_GB2312"/>
                <w:color w:val="000000"/>
                <w:sz w:val="20"/>
                <w:szCs w:val="20"/>
              </w:rPr>
            </w:pPr>
            <w:r>
              <w:rPr>
                <w:rFonts w:hint="eastAsia" w:ascii="仿宋_GB2312" w:eastAsia="仿宋_GB2312"/>
                <w:color w:val="000000"/>
                <w:sz w:val="20"/>
                <w:szCs w:val="20"/>
              </w:rPr>
              <w:t>0.29</w:t>
            </w:r>
          </w:p>
        </w:tc>
      </w:tr>
      <w:tr>
        <w:tblPrEx>
          <w:tblLayout w:type="fixed"/>
          <w:tblCellMar>
            <w:top w:w="0" w:type="dxa"/>
            <w:left w:w="108" w:type="dxa"/>
            <w:bottom w:w="0" w:type="dxa"/>
            <w:right w:w="108" w:type="dxa"/>
          </w:tblCellMar>
        </w:tblPrEx>
        <w:trPr>
          <w:trHeight w:val="454" w:hRule="atLeast"/>
          <w:jc w:val="center"/>
        </w:trPr>
        <w:tc>
          <w:tcPr>
            <w:tcW w:w="2049" w:type="dxa"/>
            <w:tcBorders>
              <w:top w:val="nil"/>
              <w:left w:val="single" w:color="auto" w:sz="4" w:space="0"/>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石嘴山市（市本级）</w:t>
            </w:r>
          </w:p>
        </w:tc>
        <w:tc>
          <w:tcPr>
            <w:tcW w:w="1926" w:type="dxa"/>
            <w:tcBorders>
              <w:top w:val="nil"/>
              <w:left w:val="nil"/>
              <w:bottom w:val="single" w:color="auto" w:sz="4" w:space="0"/>
              <w:right w:val="single" w:color="auto" w:sz="4" w:space="0"/>
            </w:tcBorders>
            <w:vAlign w:val="center"/>
          </w:tcPr>
          <w:p>
            <w:pPr>
              <w:jc w:val="center"/>
              <w:rPr>
                <w:rFonts w:ascii="仿宋_GB2312" w:eastAsia="仿宋_GB2312"/>
                <w:color w:val="000000"/>
                <w:sz w:val="20"/>
                <w:szCs w:val="20"/>
              </w:rPr>
            </w:pPr>
            <w:r>
              <w:rPr>
                <w:rFonts w:hint="eastAsia" w:ascii="仿宋_GB2312" w:eastAsia="仿宋_GB2312"/>
                <w:color w:val="000000"/>
                <w:sz w:val="20"/>
                <w:szCs w:val="20"/>
              </w:rPr>
              <w:t>10.95</w:t>
            </w:r>
          </w:p>
        </w:tc>
        <w:tc>
          <w:tcPr>
            <w:tcW w:w="2098"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彭阳县</w:t>
            </w:r>
          </w:p>
        </w:tc>
        <w:tc>
          <w:tcPr>
            <w:tcW w:w="2144" w:type="dxa"/>
            <w:tcBorders>
              <w:top w:val="nil"/>
              <w:left w:val="nil"/>
              <w:bottom w:val="single" w:color="auto" w:sz="4" w:space="0"/>
              <w:right w:val="single" w:color="auto" w:sz="4" w:space="0"/>
            </w:tcBorders>
            <w:vAlign w:val="center"/>
          </w:tcPr>
          <w:p>
            <w:pPr>
              <w:jc w:val="center"/>
              <w:rPr>
                <w:rFonts w:ascii="仿宋_GB2312" w:eastAsia="仿宋_GB2312"/>
                <w:color w:val="000000"/>
                <w:sz w:val="20"/>
                <w:szCs w:val="20"/>
              </w:rPr>
            </w:pPr>
            <w:r>
              <w:rPr>
                <w:rFonts w:hint="eastAsia" w:ascii="仿宋_GB2312" w:eastAsia="仿宋_GB2312"/>
                <w:color w:val="000000"/>
                <w:sz w:val="20"/>
                <w:szCs w:val="20"/>
              </w:rPr>
              <w:t>0.92</w:t>
            </w:r>
          </w:p>
        </w:tc>
      </w:tr>
      <w:tr>
        <w:tblPrEx>
          <w:tblLayout w:type="fixed"/>
          <w:tblCellMar>
            <w:top w:w="0" w:type="dxa"/>
            <w:left w:w="108" w:type="dxa"/>
            <w:bottom w:w="0" w:type="dxa"/>
            <w:right w:w="108" w:type="dxa"/>
          </w:tblCellMar>
        </w:tblPrEx>
        <w:trPr>
          <w:trHeight w:val="454" w:hRule="atLeast"/>
          <w:jc w:val="center"/>
        </w:trPr>
        <w:tc>
          <w:tcPr>
            <w:tcW w:w="2049" w:type="dxa"/>
            <w:tcBorders>
              <w:top w:val="nil"/>
              <w:left w:val="single" w:color="auto" w:sz="4" w:space="0"/>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平罗县</w:t>
            </w:r>
          </w:p>
        </w:tc>
        <w:tc>
          <w:tcPr>
            <w:tcW w:w="1926" w:type="dxa"/>
            <w:tcBorders>
              <w:top w:val="nil"/>
              <w:left w:val="nil"/>
              <w:bottom w:val="single" w:color="auto" w:sz="4" w:space="0"/>
              <w:right w:val="single" w:color="auto" w:sz="4" w:space="0"/>
            </w:tcBorders>
            <w:vAlign w:val="center"/>
          </w:tcPr>
          <w:p>
            <w:pPr>
              <w:jc w:val="center"/>
              <w:rPr>
                <w:rFonts w:ascii="仿宋_GB2312" w:eastAsia="仿宋_GB2312"/>
                <w:color w:val="000000"/>
                <w:sz w:val="20"/>
                <w:szCs w:val="20"/>
              </w:rPr>
            </w:pPr>
            <w:r>
              <w:rPr>
                <w:rFonts w:hint="eastAsia" w:ascii="仿宋_GB2312" w:eastAsia="仿宋_GB2312"/>
                <w:color w:val="000000"/>
                <w:sz w:val="20"/>
                <w:szCs w:val="20"/>
              </w:rPr>
              <w:t>5.04</w:t>
            </w:r>
          </w:p>
        </w:tc>
        <w:tc>
          <w:tcPr>
            <w:tcW w:w="2098"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中卫市（市本级）</w:t>
            </w:r>
          </w:p>
        </w:tc>
        <w:tc>
          <w:tcPr>
            <w:tcW w:w="2144" w:type="dxa"/>
            <w:tcBorders>
              <w:top w:val="nil"/>
              <w:left w:val="nil"/>
              <w:bottom w:val="single" w:color="auto" w:sz="4" w:space="0"/>
              <w:right w:val="single" w:color="auto" w:sz="4" w:space="0"/>
            </w:tcBorders>
            <w:vAlign w:val="center"/>
          </w:tcPr>
          <w:p>
            <w:pPr>
              <w:jc w:val="center"/>
              <w:rPr>
                <w:rFonts w:ascii="仿宋_GB2312" w:eastAsia="仿宋_GB2312"/>
                <w:color w:val="000000"/>
                <w:sz w:val="20"/>
                <w:szCs w:val="20"/>
              </w:rPr>
            </w:pPr>
            <w:r>
              <w:rPr>
                <w:rFonts w:hint="eastAsia" w:ascii="仿宋_GB2312" w:eastAsia="仿宋_GB2312"/>
                <w:color w:val="000000"/>
                <w:sz w:val="20"/>
                <w:szCs w:val="20"/>
              </w:rPr>
              <w:t>7.28</w:t>
            </w:r>
          </w:p>
        </w:tc>
      </w:tr>
      <w:tr>
        <w:tblPrEx>
          <w:tblLayout w:type="fixed"/>
          <w:tblCellMar>
            <w:top w:w="0" w:type="dxa"/>
            <w:left w:w="108" w:type="dxa"/>
            <w:bottom w:w="0" w:type="dxa"/>
            <w:right w:w="108" w:type="dxa"/>
          </w:tblCellMar>
        </w:tblPrEx>
        <w:trPr>
          <w:trHeight w:val="454" w:hRule="atLeast"/>
          <w:jc w:val="center"/>
        </w:trPr>
        <w:tc>
          <w:tcPr>
            <w:tcW w:w="2049" w:type="dxa"/>
            <w:tcBorders>
              <w:top w:val="nil"/>
              <w:left w:val="single" w:color="auto" w:sz="4" w:space="0"/>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吴忠市（市本级）</w:t>
            </w:r>
          </w:p>
        </w:tc>
        <w:tc>
          <w:tcPr>
            <w:tcW w:w="1926" w:type="dxa"/>
            <w:tcBorders>
              <w:top w:val="nil"/>
              <w:left w:val="nil"/>
              <w:bottom w:val="single" w:color="auto" w:sz="4" w:space="0"/>
              <w:right w:val="single" w:color="auto" w:sz="4" w:space="0"/>
            </w:tcBorders>
            <w:vAlign w:val="center"/>
          </w:tcPr>
          <w:p>
            <w:pPr>
              <w:jc w:val="center"/>
              <w:rPr>
                <w:rFonts w:ascii="仿宋_GB2312" w:eastAsia="仿宋_GB2312"/>
                <w:color w:val="000000"/>
                <w:sz w:val="20"/>
                <w:szCs w:val="20"/>
              </w:rPr>
            </w:pPr>
            <w:r>
              <w:rPr>
                <w:rFonts w:hint="eastAsia" w:ascii="仿宋_GB2312" w:eastAsia="仿宋_GB2312"/>
                <w:color w:val="000000"/>
                <w:sz w:val="20"/>
                <w:szCs w:val="20"/>
              </w:rPr>
              <w:t>8.48</w:t>
            </w:r>
          </w:p>
        </w:tc>
        <w:tc>
          <w:tcPr>
            <w:tcW w:w="2098"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中宁县</w:t>
            </w:r>
          </w:p>
        </w:tc>
        <w:tc>
          <w:tcPr>
            <w:tcW w:w="2144" w:type="dxa"/>
            <w:tcBorders>
              <w:top w:val="nil"/>
              <w:left w:val="nil"/>
              <w:bottom w:val="single" w:color="auto" w:sz="4" w:space="0"/>
              <w:right w:val="single" w:color="auto" w:sz="4" w:space="0"/>
            </w:tcBorders>
            <w:vAlign w:val="center"/>
          </w:tcPr>
          <w:p>
            <w:pPr>
              <w:jc w:val="center"/>
              <w:rPr>
                <w:rFonts w:ascii="仿宋_GB2312" w:eastAsia="仿宋_GB2312"/>
                <w:color w:val="000000"/>
                <w:sz w:val="20"/>
                <w:szCs w:val="20"/>
              </w:rPr>
            </w:pPr>
            <w:r>
              <w:rPr>
                <w:rFonts w:hint="eastAsia" w:ascii="仿宋_GB2312" w:eastAsia="仿宋_GB2312"/>
                <w:color w:val="000000"/>
                <w:sz w:val="20"/>
                <w:szCs w:val="20"/>
              </w:rPr>
              <w:t>5.12</w:t>
            </w:r>
          </w:p>
        </w:tc>
      </w:tr>
      <w:tr>
        <w:tblPrEx>
          <w:tblLayout w:type="fixed"/>
          <w:tblCellMar>
            <w:top w:w="0" w:type="dxa"/>
            <w:left w:w="108" w:type="dxa"/>
            <w:bottom w:w="0" w:type="dxa"/>
            <w:right w:w="108" w:type="dxa"/>
          </w:tblCellMar>
        </w:tblPrEx>
        <w:trPr>
          <w:trHeight w:val="454" w:hRule="atLeast"/>
          <w:jc w:val="center"/>
        </w:trPr>
        <w:tc>
          <w:tcPr>
            <w:tcW w:w="2049" w:type="dxa"/>
            <w:tcBorders>
              <w:top w:val="nil"/>
              <w:left w:val="single" w:color="auto" w:sz="4" w:space="0"/>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青铜峡市</w:t>
            </w:r>
          </w:p>
        </w:tc>
        <w:tc>
          <w:tcPr>
            <w:tcW w:w="1926" w:type="dxa"/>
            <w:tcBorders>
              <w:top w:val="nil"/>
              <w:left w:val="nil"/>
              <w:bottom w:val="single" w:color="auto" w:sz="4" w:space="0"/>
              <w:right w:val="single" w:color="auto" w:sz="4" w:space="0"/>
            </w:tcBorders>
            <w:vAlign w:val="center"/>
          </w:tcPr>
          <w:p>
            <w:pPr>
              <w:jc w:val="center"/>
              <w:rPr>
                <w:rFonts w:ascii="仿宋_GB2312" w:eastAsia="仿宋_GB2312"/>
                <w:color w:val="000000"/>
                <w:sz w:val="20"/>
                <w:szCs w:val="20"/>
              </w:rPr>
            </w:pPr>
            <w:r>
              <w:rPr>
                <w:rFonts w:hint="eastAsia" w:ascii="仿宋_GB2312" w:eastAsia="仿宋_GB2312"/>
                <w:color w:val="000000"/>
                <w:sz w:val="20"/>
                <w:szCs w:val="20"/>
              </w:rPr>
              <w:t>3.34</w:t>
            </w:r>
          </w:p>
        </w:tc>
        <w:tc>
          <w:tcPr>
            <w:tcW w:w="2098"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海原县</w:t>
            </w:r>
          </w:p>
        </w:tc>
        <w:tc>
          <w:tcPr>
            <w:tcW w:w="2144" w:type="dxa"/>
            <w:tcBorders>
              <w:top w:val="nil"/>
              <w:left w:val="nil"/>
              <w:bottom w:val="single" w:color="auto" w:sz="4" w:space="0"/>
              <w:right w:val="single" w:color="auto" w:sz="4" w:space="0"/>
            </w:tcBorders>
            <w:vAlign w:val="center"/>
          </w:tcPr>
          <w:p>
            <w:pPr>
              <w:jc w:val="center"/>
              <w:rPr>
                <w:rFonts w:ascii="仿宋_GB2312" w:eastAsia="仿宋_GB2312"/>
                <w:color w:val="000000"/>
                <w:sz w:val="20"/>
                <w:szCs w:val="20"/>
              </w:rPr>
            </w:pPr>
            <w:r>
              <w:rPr>
                <w:rFonts w:hint="eastAsia" w:ascii="仿宋_GB2312" w:eastAsia="仿宋_GB2312"/>
                <w:color w:val="000000"/>
                <w:sz w:val="20"/>
                <w:szCs w:val="20"/>
              </w:rPr>
              <w:t>0.75</w:t>
            </w:r>
          </w:p>
        </w:tc>
      </w:tr>
      <w:tr>
        <w:tblPrEx>
          <w:tblLayout w:type="fixed"/>
          <w:tblCellMar>
            <w:top w:w="0" w:type="dxa"/>
            <w:left w:w="108" w:type="dxa"/>
            <w:bottom w:w="0" w:type="dxa"/>
            <w:right w:w="108" w:type="dxa"/>
          </w:tblCellMar>
        </w:tblPrEx>
        <w:trPr>
          <w:trHeight w:val="454" w:hRule="atLeast"/>
          <w:jc w:val="center"/>
        </w:trPr>
        <w:tc>
          <w:tcPr>
            <w:tcW w:w="2049" w:type="dxa"/>
            <w:tcBorders>
              <w:top w:val="nil"/>
              <w:left w:val="single" w:color="auto" w:sz="4" w:space="0"/>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盐池县</w:t>
            </w:r>
          </w:p>
        </w:tc>
        <w:tc>
          <w:tcPr>
            <w:tcW w:w="1926" w:type="dxa"/>
            <w:tcBorders>
              <w:top w:val="nil"/>
              <w:left w:val="nil"/>
              <w:bottom w:val="single" w:color="auto" w:sz="4" w:space="0"/>
              <w:right w:val="single" w:color="auto" w:sz="4" w:space="0"/>
            </w:tcBorders>
            <w:vAlign w:val="center"/>
          </w:tcPr>
          <w:p>
            <w:pPr>
              <w:jc w:val="center"/>
              <w:rPr>
                <w:rFonts w:ascii="仿宋_GB2312" w:eastAsia="仿宋_GB2312"/>
                <w:color w:val="000000"/>
                <w:sz w:val="20"/>
                <w:szCs w:val="20"/>
              </w:rPr>
            </w:pPr>
            <w:r>
              <w:rPr>
                <w:rFonts w:hint="eastAsia" w:ascii="仿宋_GB2312" w:eastAsia="仿宋_GB2312"/>
                <w:color w:val="000000"/>
                <w:sz w:val="20"/>
                <w:szCs w:val="20"/>
              </w:rPr>
              <w:t xml:space="preserve">1.33   </w:t>
            </w:r>
          </w:p>
        </w:tc>
        <w:tc>
          <w:tcPr>
            <w:tcW w:w="2098"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区本级</w:t>
            </w:r>
          </w:p>
        </w:tc>
        <w:tc>
          <w:tcPr>
            <w:tcW w:w="2144" w:type="dxa"/>
            <w:tcBorders>
              <w:top w:val="nil"/>
              <w:left w:val="nil"/>
              <w:bottom w:val="single" w:color="auto" w:sz="4" w:space="0"/>
              <w:right w:val="single" w:color="auto" w:sz="4" w:space="0"/>
            </w:tcBorders>
            <w:vAlign w:val="center"/>
          </w:tcPr>
          <w:p>
            <w:pPr>
              <w:jc w:val="center"/>
              <w:rPr>
                <w:rFonts w:ascii="仿宋_GB2312" w:eastAsia="仿宋_GB2312"/>
                <w:color w:val="000000"/>
                <w:sz w:val="20"/>
                <w:szCs w:val="20"/>
              </w:rPr>
            </w:pPr>
            <w:r>
              <w:rPr>
                <w:rFonts w:hint="eastAsia" w:ascii="仿宋_GB2312" w:eastAsia="仿宋_GB2312"/>
                <w:color w:val="000000"/>
                <w:sz w:val="20"/>
                <w:szCs w:val="20"/>
              </w:rPr>
              <w:t>12.56</w:t>
            </w:r>
          </w:p>
        </w:tc>
      </w:tr>
      <w:tr>
        <w:tblPrEx>
          <w:tblLayout w:type="fixed"/>
          <w:tblCellMar>
            <w:top w:w="0" w:type="dxa"/>
            <w:left w:w="108" w:type="dxa"/>
            <w:bottom w:w="0" w:type="dxa"/>
            <w:right w:w="108" w:type="dxa"/>
          </w:tblCellMar>
        </w:tblPrEx>
        <w:trPr>
          <w:trHeight w:val="454" w:hRule="atLeast"/>
          <w:jc w:val="center"/>
        </w:trPr>
        <w:tc>
          <w:tcPr>
            <w:tcW w:w="2049" w:type="dxa"/>
            <w:tcBorders>
              <w:top w:val="nil"/>
              <w:left w:val="single" w:color="auto" w:sz="4" w:space="0"/>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同心县</w:t>
            </w:r>
          </w:p>
        </w:tc>
        <w:tc>
          <w:tcPr>
            <w:tcW w:w="1926" w:type="dxa"/>
            <w:tcBorders>
              <w:top w:val="nil"/>
              <w:left w:val="nil"/>
              <w:bottom w:val="single" w:color="auto" w:sz="4" w:space="0"/>
              <w:right w:val="single" w:color="auto" w:sz="4" w:space="0"/>
            </w:tcBorders>
            <w:vAlign w:val="center"/>
          </w:tcPr>
          <w:p>
            <w:pPr>
              <w:jc w:val="center"/>
              <w:rPr>
                <w:rFonts w:ascii="仿宋_GB2312" w:eastAsia="仿宋_GB2312"/>
                <w:color w:val="000000"/>
                <w:sz w:val="20"/>
                <w:szCs w:val="20"/>
              </w:rPr>
            </w:pPr>
            <w:r>
              <w:rPr>
                <w:rFonts w:hint="eastAsia" w:ascii="仿宋_GB2312" w:eastAsia="仿宋_GB2312"/>
                <w:color w:val="000000"/>
                <w:sz w:val="20"/>
                <w:szCs w:val="20"/>
              </w:rPr>
              <w:t xml:space="preserve"> 0.78  </w:t>
            </w:r>
          </w:p>
        </w:tc>
        <w:tc>
          <w:tcPr>
            <w:tcW w:w="2098"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合计</w:t>
            </w:r>
          </w:p>
        </w:tc>
        <w:tc>
          <w:tcPr>
            <w:tcW w:w="2144" w:type="dxa"/>
            <w:tcBorders>
              <w:top w:val="nil"/>
              <w:left w:val="nil"/>
              <w:bottom w:val="single" w:color="auto" w:sz="4" w:space="0"/>
              <w:right w:val="single" w:color="auto" w:sz="4" w:space="0"/>
            </w:tcBorders>
            <w:vAlign w:val="center"/>
          </w:tcPr>
          <w:p>
            <w:pPr>
              <w:jc w:val="center"/>
              <w:rPr>
                <w:rFonts w:ascii="仿宋_GB2312" w:eastAsia="仿宋_GB2312"/>
                <w:color w:val="000000"/>
                <w:sz w:val="20"/>
                <w:szCs w:val="20"/>
              </w:rPr>
            </w:pPr>
            <w:r>
              <w:rPr>
                <w:rFonts w:hint="eastAsia" w:ascii="仿宋_GB2312" w:eastAsia="仿宋_GB2312"/>
                <w:color w:val="000000"/>
                <w:sz w:val="20"/>
                <w:szCs w:val="20"/>
              </w:rPr>
              <w:t>129.30</w:t>
            </w:r>
          </w:p>
        </w:tc>
      </w:tr>
    </w:tbl>
    <w:p>
      <w:pPr>
        <w:autoSpaceDE w:val="0"/>
        <w:autoSpaceDN w:val="0"/>
        <w:adjustRightInd w:val="0"/>
        <w:snapToGrid w:val="0"/>
        <w:spacing w:line="560" w:lineRule="exact"/>
        <w:ind w:firstLine="643" w:firstLineChars="200"/>
        <w:rPr>
          <w:rFonts w:ascii="仿宋_GB2312" w:eastAsia="仿宋_GB2312"/>
          <w:b/>
          <w:kern w:val="0"/>
          <w:sz w:val="32"/>
          <w:szCs w:val="32"/>
        </w:rPr>
      </w:pPr>
      <w:r>
        <w:rPr>
          <w:rFonts w:hint="eastAsia" w:ascii="仿宋_GB2312" w:eastAsia="仿宋_GB2312"/>
          <w:b/>
          <w:kern w:val="0"/>
          <w:sz w:val="32"/>
          <w:szCs w:val="32"/>
        </w:rPr>
        <w:t>3.跨地区养老保险关系转续人数情况</w:t>
      </w:r>
    </w:p>
    <w:p>
      <w:pPr>
        <w:spacing w:line="560" w:lineRule="exact"/>
        <w:ind w:firstLine="640" w:firstLineChars="200"/>
        <w:rPr>
          <w:rFonts w:ascii="仿宋_GB2312" w:eastAsia="仿宋_GB2312"/>
        </w:rPr>
      </w:pPr>
      <w:r>
        <w:rPr>
          <w:rFonts w:hint="eastAsia" w:ascii="仿宋_GB2312" w:eastAsia="仿宋_GB2312"/>
          <w:sz w:val="32"/>
          <w:szCs w:val="32"/>
        </w:rPr>
        <w:t>截至2021年底,共办理城镇企业职工养老保险关系跨省转入11108人次，较上年同期增加3964人次，增长55.49%；共办理城镇企业职工养老保险关系跨省转出5269人次，较上年增加1927人次，增长57.66%。</w:t>
      </w:r>
    </w:p>
    <w:p>
      <w:pPr>
        <w:pStyle w:val="4"/>
        <w:jc w:val="center"/>
        <w:rPr>
          <w:rFonts w:ascii="仿宋_GB2312" w:hAnsi="Times New Roman" w:eastAsia="仿宋_GB2312"/>
          <w:sz w:val="30"/>
          <w:szCs w:val="30"/>
        </w:rPr>
      </w:pPr>
      <w:r>
        <w:rPr>
          <w:rFonts w:hint="eastAsia" w:ascii="仿宋_GB2312" w:hAnsi="Times New Roman" w:eastAsia="仿宋_GB2312"/>
          <w:sz w:val="30"/>
          <w:szCs w:val="30"/>
        </w:rPr>
        <w:drawing>
          <wp:inline distT="0" distB="0" distL="0" distR="0">
            <wp:extent cx="5179060" cy="2969260"/>
            <wp:effectExtent l="19050" t="19050" r="21590" b="215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6">
                      <a:extLst>
                        <a:ext uri="{28A0092B-C50C-407E-A947-70E740481C1C}">
                          <a14:useLocalDpi xmlns:a14="http://schemas.microsoft.com/office/drawing/2010/main" val="0"/>
                        </a:ext>
                      </a:extLst>
                    </a:blip>
                    <a:srcRect l="1234" t="1654" r="1702" b="2425"/>
                    <a:stretch>
                      <a:fillRect/>
                    </a:stretch>
                  </pic:blipFill>
                  <pic:spPr>
                    <a:xfrm>
                      <a:off x="0" y="0"/>
                      <a:ext cx="5194665" cy="2978377"/>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p>
      <w:pPr>
        <w:pStyle w:val="4"/>
        <w:jc w:val="center"/>
        <w:rPr>
          <w:rFonts w:ascii="仿宋_GB2312" w:hAnsi="Times New Roman" w:eastAsia="仿宋_GB2312"/>
          <w:spacing w:val="-10"/>
          <w:sz w:val="28"/>
          <w:szCs w:val="28"/>
        </w:rPr>
      </w:pPr>
      <w:r>
        <w:rPr>
          <w:rFonts w:hint="eastAsia" w:ascii="仿宋_GB2312" w:hAnsi="Times New Roman" w:eastAsia="仿宋_GB2312"/>
          <w:spacing w:val="-10"/>
          <w:sz w:val="28"/>
          <w:szCs w:val="28"/>
        </w:rPr>
        <w:t>图1-8：2017年-2021年跨省转入人次及增长率对比图</w:t>
      </w:r>
    </w:p>
    <w:p>
      <w:pPr>
        <w:jc w:val="center"/>
        <w:rPr>
          <w:rFonts w:ascii="仿宋_GB2312" w:eastAsia="仿宋_GB2312"/>
        </w:rPr>
      </w:pPr>
      <w:r>
        <w:rPr>
          <w:rFonts w:hint="eastAsia" w:ascii="仿宋_GB2312" w:eastAsia="仿宋_GB2312"/>
        </w:rPr>
        <w:drawing>
          <wp:inline distT="0" distB="0" distL="0" distR="0">
            <wp:extent cx="5208270" cy="2420620"/>
            <wp:effectExtent l="19050" t="19050" r="11430" b="177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7">
                      <a:extLst>
                        <a:ext uri="{28A0092B-C50C-407E-A947-70E740481C1C}">
                          <a14:useLocalDpi xmlns:a14="http://schemas.microsoft.com/office/drawing/2010/main" val="0"/>
                        </a:ext>
                      </a:extLst>
                    </a:blip>
                    <a:srcRect l="551" t="1729" r="1437" b="2842"/>
                    <a:stretch>
                      <a:fillRect/>
                    </a:stretch>
                  </pic:blipFill>
                  <pic:spPr>
                    <a:xfrm>
                      <a:off x="0" y="0"/>
                      <a:ext cx="5254725" cy="2442702"/>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p>
      <w:pPr>
        <w:pStyle w:val="4"/>
        <w:jc w:val="center"/>
        <w:rPr>
          <w:rFonts w:ascii="仿宋_GB2312" w:hAnsi="Times New Roman" w:eastAsia="仿宋_GB2312"/>
          <w:sz w:val="28"/>
          <w:szCs w:val="28"/>
        </w:rPr>
      </w:pPr>
      <w:r>
        <w:rPr>
          <w:rFonts w:hint="eastAsia" w:ascii="仿宋_GB2312" w:hAnsi="Times New Roman" w:eastAsia="仿宋_GB2312"/>
          <w:sz w:val="28"/>
          <w:szCs w:val="28"/>
        </w:rPr>
        <w:t>图1-9：2017年-2021年跨省转出人次及增长率对比图</w:t>
      </w:r>
    </w:p>
    <w:p>
      <w:pPr>
        <w:spacing w:line="600" w:lineRule="exact"/>
        <w:ind w:firstLine="643" w:firstLineChars="200"/>
        <w:rPr>
          <w:rFonts w:ascii="仿宋_GB2312" w:eastAsia="仿宋_GB2312"/>
          <w:sz w:val="32"/>
          <w:szCs w:val="32"/>
        </w:rPr>
      </w:pPr>
      <w:r>
        <w:rPr>
          <w:rFonts w:hint="eastAsia" w:ascii="楷体_GB2312" w:eastAsia="楷体_GB2312"/>
          <w:b/>
          <w:sz w:val="32"/>
          <w:szCs w:val="32"/>
        </w:rPr>
        <w:t>（二）基金收支情况。</w:t>
      </w:r>
      <w:r>
        <w:rPr>
          <w:rFonts w:hint="eastAsia" w:ascii="仿宋_GB2312" w:eastAsia="仿宋_GB2312"/>
          <w:sz w:val="32"/>
          <w:szCs w:val="32"/>
        </w:rPr>
        <w:t>截至2021年末，城镇企业职工基本养老保险基金总收入265.29亿元(含中央调剂金；不含上级补助收入、下级上解收入，下同)，比上年增加36.30亿元，增长15.85%；比2017年增加84.97亿元，年平均增长10.13%。基金总支出275.06亿元（含中央调剂金；不含补助下级支出、上解上级支出，下同），比上年增加27.02亿元，增长10.89%；比2017年增加108.33亿元，年平均增长13.33%。基金累计结余206.63亿元，比上年减少9.76亿元，降低4.51%；比2017年增加10.29亿元，年平均增长1.29%。</w:t>
      </w:r>
    </w:p>
    <w:p>
      <w:pPr>
        <w:spacing w:line="600" w:lineRule="exact"/>
        <w:rPr>
          <w:rFonts w:ascii="仿宋_GB2312" w:eastAsia="仿宋_GB2312"/>
          <w:bCs/>
          <w:spacing w:val="-4"/>
          <w:kern w:val="0"/>
          <w:sz w:val="28"/>
          <w:szCs w:val="28"/>
          <w:lang w:bidi="ar"/>
        </w:rPr>
      </w:pPr>
      <w:r>
        <w:rPr>
          <w:rFonts w:hint="eastAsia" w:ascii="仿宋_GB2312" w:eastAsia="仿宋_GB2312"/>
          <w:spacing w:val="-6"/>
          <w:sz w:val="28"/>
          <w:szCs w:val="28"/>
        </w:rPr>
        <w:t>表1-4：</w:t>
      </w:r>
      <w:r>
        <w:rPr>
          <w:rFonts w:hint="eastAsia" w:ascii="仿宋_GB2312" w:eastAsia="仿宋_GB2312"/>
          <w:bCs/>
          <w:spacing w:val="-6"/>
          <w:kern w:val="0"/>
          <w:sz w:val="28"/>
          <w:szCs w:val="28"/>
          <w:lang w:bidi="ar"/>
        </w:rPr>
        <w:t>2017年-2021年城镇企业职工基本养老保险基金收支累计结余情况表</w:t>
      </w:r>
    </w:p>
    <w:p>
      <w:pPr>
        <w:spacing w:line="360" w:lineRule="exact"/>
        <w:jc w:val="right"/>
        <w:rPr>
          <w:rFonts w:ascii="仿宋_GB2312" w:eastAsia="仿宋_GB2312"/>
          <w:b/>
          <w:sz w:val="32"/>
          <w:szCs w:val="32"/>
        </w:rPr>
      </w:pPr>
      <w:r>
        <w:rPr>
          <w:rFonts w:hint="eastAsia" w:ascii="仿宋_GB2312" w:eastAsia="仿宋_GB2312"/>
          <w:bCs/>
          <w:kern w:val="0"/>
          <w:sz w:val="28"/>
          <w:szCs w:val="28"/>
          <w:lang w:bidi="ar"/>
        </w:rPr>
        <w:t>单位：亿元，%</w:t>
      </w:r>
    </w:p>
    <w:p>
      <w:pPr>
        <w:jc w:val="center"/>
        <w:rPr>
          <w:rFonts w:ascii="仿宋_GB2312" w:eastAsia="仿宋_GB2312"/>
          <w:bCs/>
          <w:kern w:val="0"/>
          <w:sz w:val="28"/>
          <w:szCs w:val="28"/>
          <w:lang w:bidi="ar"/>
        </w:rPr>
      </w:pPr>
      <w:r>
        <w:rPr>
          <w:rFonts w:hint="eastAsia" w:ascii="仿宋_GB2312" w:eastAsia="仿宋_GB2312"/>
          <w:b/>
          <w:sz w:val="32"/>
          <w:szCs w:val="32"/>
        </w:rPr>
        <w:drawing>
          <wp:inline distT="0" distB="0" distL="0" distR="0">
            <wp:extent cx="5067935" cy="3288665"/>
            <wp:effectExtent l="0" t="0" r="0" b="69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8">
                      <a:extLst>
                        <a:ext uri="{28A0092B-C50C-407E-A947-70E740481C1C}">
                          <a14:useLocalDpi xmlns:a14="http://schemas.microsoft.com/office/drawing/2010/main" val="0"/>
                        </a:ext>
                      </a:extLst>
                    </a:blip>
                    <a:srcRect t="1633"/>
                    <a:stretch>
                      <a:fillRect/>
                    </a:stretch>
                  </pic:blipFill>
                  <pic:spPr>
                    <a:xfrm>
                      <a:off x="0" y="0"/>
                      <a:ext cx="5067935" cy="3288684"/>
                    </a:xfrm>
                    <a:prstGeom prst="rect">
                      <a:avLst/>
                    </a:prstGeom>
                    <a:ln>
                      <a:noFill/>
                    </a:ln>
                  </pic:spPr>
                </pic:pic>
              </a:graphicData>
            </a:graphic>
          </wp:inline>
        </w:drawing>
      </w:r>
    </w:p>
    <w:p>
      <w:pPr>
        <w:spacing w:line="560" w:lineRule="exact"/>
        <w:ind w:firstLine="643" w:firstLineChars="200"/>
        <w:rPr>
          <w:rFonts w:ascii="仿宋_GB2312" w:eastAsia="仿宋_GB2312"/>
          <w:b/>
          <w:sz w:val="32"/>
          <w:szCs w:val="32"/>
        </w:rPr>
      </w:pPr>
      <w:r>
        <w:rPr>
          <w:rFonts w:hint="eastAsia" w:ascii="仿宋_GB2312" w:eastAsia="仿宋_GB2312"/>
          <w:b/>
          <w:sz w:val="32"/>
          <w:szCs w:val="32"/>
        </w:rPr>
        <w:t>1.基金收入情况</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基金收入构成：</w:t>
      </w:r>
      <w:r>
        <w:rPr>
          <w:rFonts w:hint="eastAsia" w:ascii="仿宋_GB2312" w:eastAsia="仿宋_GB2312"/>
          <w:sz w:val="32"/>
          <w:szCs w:val="32"/>
        </w:rPr>
        <w:t>2021年城镇企业职工基本养老保险基金总收入265.29亿元。其中征缴收入167.86亿元，利息收入3.82亿元，财政补贴46.10亿元，其他收入1.84亿元，转移收入3.94亿元，中央调剂金41.48亿元，委托投资收益0.25亿元，分别占总收入的63.27%、1.44%、17.38%、0.69%、1.49%、15.64%、0.09%。</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基金征缴收入:</w:t>
      </w:r>
      <w:r>
        <w:rPr>
          <w:rFonts w:hint="eastAsia" w:ascii="仿宋_GB2312" w:eastAsia="仿宋_GB2312"/>
          <w:sz w:val="32"/>
          <w:szCs w:val="32"/>
        </w:rPr>
        <w:t>2021年城镇企业职工基本养老保险征缴收入167.86亿元，比上年增加28.44亿元，增长20.40%；比2017年增加26.50亿元，年平均增长4.39%。</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财政补助收入：</w:t>
      </w:r>
      <w:r>
        <w:rPr>
          <w:rFonts w:hint="eastAsia" w:ascii="仿宋_GB2312" w:eastAsia="仿宋_GB2312"/>
          <w:sz w:val="32"/>
          <w:szCs w:val="32"/>
        </w:rPr>
        <w:t>2021年中央财政补助46.10亿元，占城镇企业职工养老保险基金总收入的17.38%，比上年增加3.62亿元，增长8.52%；比2017年增加13.57亿元，年平均增长9.11%。</w:t>
      </w:r>
    </w:p>
    <w:p>
      <w:pPr>
        <w:rPr>
          <w:rFonts w:ascii="仿宋_GB2312" w:eastAsia="仿宋_GB2312"/>
          <w:sz w:val="30"/>
          <w:szCs w:val="30"/>
        </w:rPr>
      </w:pPr>
      <w:r>
        <w:rPr>
          <w:rFonts w:hint="eastAsia" w:ascii="仿宋_GB2312" w:eastAsia="仿宋_GB2312"/>
          <w:sz w:val="32"/>
          <w:szCs w:val="32"/>
        </w:rPr>
        <w:drawing>
          <wp:inline distT="0" distB="0" distL="0" distR="0">
            <wp:extent cx="5338445" cy="2889250"/>
            <wp:effectExtent l="19050" t="19050" r="14605" b="2540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375105" cy="2909022"/>
                    </a:xfrm>
                    <a:prstGeom prst="rect">
                      <a:avLst/>
                    </a:prstGeom>
                    <a:ln w="12700">
                      <a:solidFill>
                        <a:schemeClr val="tx1"/>
                      </a:solidFill>
                    </a:ln>
                  </pic:spPr>
                </pic:pic>
              </a:graphicData>
            </a:graphic>
          </wp:inline>
        </w:drawing>
      </w:r>
    </w:p>
    <w:p>
      <w:pPr>
        <w:pStyle w:val="4"/>
        <w:spacing w:line="600" w:lineRule="exact"/>
        <w:jc w:val="center"/>
        <w:rPr>
          <w:rFonts w:ascii="仿宋_GB2312" w:hAnsi="Times New Roman" w:eastAsia="仿宋_GB2312"/>
          <w:sz w:val="28"/>
          <w:szCs w:val="28"/>
        </w:rPr>
      </w:pPr>
      <w:r>
        <w:rPr>
          <w:rFonts w:hint="eastAsia" w:ascii="仿宋_GB2312" w:hAnsi="Times New Roman" w:eastAsia="仿宋_GB2312"/>
          <w:sz w:val="28"/>
          <w:szCs w:val="28"/>
        </w:rPr>
        <w:t>图1-10：2021年城镇企业职工基本养老保险基金收入构成</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2.基金支出情况</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截至2021年末，城镇企业职工基本养老保险养老金支出275.06亿元。其中基本养老金支出223.67亿元，比上年增加16.70亿元，增长8.07%；丧葬补助金和抚恤金支出6.72亿元，比上年减少0.12亿元，降低1.75%；转移支出2.77亿元，比上年增加1.51亿元，增长119.84%；其他支出1.25亿元，比上年增加0.71亿元，增长131.48%；中央调剂金支出40.62亿元，比上年增加8.19亿元，增长25.25%；病残津贴0.03亿元。</w:t>
      </w:r>
    </w:p>
    <w:p>
      <w:pPr>
        <w:jc w:val="center"/>
        <w:rPr>
          <w:rFonts w:ascii="仿宋_GB2312" w:eastAsia="仿宋_GB2312"/>
          <w:sz w:val="32"/>
          <w:szCs w:val="32"/>
        </w:rPr>
      </w:pPr>
      <w:r>
        <w:rPr>
          <w:rFonts w:hint="eastAsia" w:ascii="仿宋_GB2312" w:eastAsia="仿宋_GB2312"/>
          <w:sz w:val="32"/>
          <w:szCs w:val="32"/>
        </w:rPr>
        <w:drawing>
          <wp:inline distT="0" distB="0" distL="0" distR="0">
            <wp:extent cx="5182235" cy="32067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182235" cy="3206750"/>
                    </a:xfrm>
                    <a:prstGeom prst="rect">
                      <a:avLst/>
                    </a:prstGeom>
                    <a:noFill/>
                  </pic:spPr>
                </pic:pic>
              </a:graphicData>
            </a:graphic>
          </wp:inline>
        </w:drawing>
      </w:r>
    </w:p>
    <w:p>
      <w:pPr>
        <w:pStyle w:val="4"/>
        <w:jc w:val="center"/>
        <w:rPr>
          <w:rFonts w:ascii="仿宋_GB2312" w:hAnsi="Times New Roman" w:eastAsia="仿宋_GB2312"/>
          <w:sz w:val="28"/>
          <w:szCs w:val="28"/>
        </w:rPr>
      </w:pPr>
      <w:r>
        <w:rPr>
          <w:rFonts w:hint="eastAsia" w:ascii="仿宋_GB2312" w:hAnsi="Times New Roman" w:eastAsia="仿宋_GB2312"/>
          <w:sz w:val="28"/>
          <w:szCs w:val="28"/>
        </w:rPr>
        <w:t>图1-11：2021年城镇企业职工基本养老保险基金支出构成图</w:t>
      </w:r>
    </w:p>
    <w:p>
      <w:pPr>
        <w:spacing w:line="560" w:lineRule="exact"/>
        <w:ind w:firstLine="643" w:firstLineChars="200"/>
        <w:rPr>
          <w:rFonts w:ascii="仿宋_GB2312" w:eastAsia="仿宋_GB2312"/>
          <w:b/>
          <w:sz w:val="32"/>
          <w:szCs w:val="32"/>
        </w:rPr>
      </w:pPr>
      <w:r>
        <w:rPr>
          <w:rFonts w:hint="eastAsia" w:ascii="仿宋_GB2312" w:eastAsia="仿宋_GB2312"/>
          <w:b/>
          <w:sz w:val="32"/>
          <w:szCs w:val="32"/>
        </w:rPr>
        <w:t>3.基金结余情况</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截至2021年底，城镇企业职工基本养老保险基金累计结余206.63亿元，比上年减少9.76亿元，降低4.51%;比2017年增加10.29亿元，年平均增长1.29%。</w:t>
      </w:r>
    </w:p>
    <w:p>
      <w:pPr>
        <w:spacing w:line="360" w:lineRule="exact"/>
        <w:jc w:val="center"/>
        <w:rPr>
          <w:rFonts w:ascii="仿宋_GB2312" w:eastAsia="仿宋_GB2312"/>
          <w:spacing w:val="-20"/>
          <w:sz w:val="28"/>
          <w:szCs w:val="28"/>
        </w:rPr>
      </w:pPr>
      <w:r>
        <w:rPr>
          <w:rFonts w:hint="eastAsia" w:ascii="仿宋_GB2312" w:eastAsia="仿宋_GB2312"/>
          <w:spacing w:val="-20"/>
          <w:sz w:val="28"/>
          <w:szCs w:val="28"/>
        </w:rPr>
        <w:t>表1-5：2021年分市县城镇企业职工基本养老保险基金收支结余及分布情况表</w:t>
      </w:r>
    </w:p>
    <w:p>
      <w:pPr>
        <w:jc w:val="right"/>
        <w:rPr>
          <w:rFonts w:ascii="仿宋_GB2312" w:eastAsia="仿宋_GB2312"/>
          <w:spacing w:val="-4"/>
          <w:sz w:val="28"/>
          <w:szCs w:val="28"/>
        </w:rPr>
      </w:pPr>
      <w:r>
        <w:rPr>
          <w:rFonts w:hint="eastAsia" w:ascii="仿宋_GB2312" w:eastAsia="仿宋_GB2312"/>
          <w:spacing w:val="-4"/>
          <w:sz w:val="28"/>
          <w:szCs w:val="28"/>
        </w:rPr>
        <w:drawing>
          <wp:inline distT="0" distB="0" distL="0" distR="0">
            <wp:extent cx="5685155" cy="2790825"/>
            <wp:effectExtent l="0" t="0" r="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688330" cy="2792453"/>
                    </a:xfrm>
                    <a:prstGeom prst="rect">
                      <a:avLst/>
                    </a:prstGeom>
                  </pic:spPr>
                </pic:pic>
              </a:graphicData>
            </a:graphic>
          </wp:inline>
        </w:drawing>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（三）企业退休人员养老金水平情况</w:t>
      </w:r>
    </w:p>
    <w:p>
      <w:pPr>
        <w:spacing w:line="600" w:lineRule="exact"/>
        <w:ind w:firstLine="643" w:firstLineChars="200"/>
        <w:rPr>
          <w:rFonts w:ascii="仿宋_GB2312" w:eastAsia="仿宋_GB2312"/>
          <w:b/>
          <w:sz w:val="32"/>
          <w:szCs w:val="32"/>
        </w:rPr>
      </w:pPr>
      <w:r>
        <w:rPr>
          <w:rFonts w:hint="eastAsia" w:ascii="仿宋_GB2312" w:eastAsia="仿宋_GB2312"/>
          <w:b/>
          <w:sz w:val="32"/>
          <w:szCs w:val="32"/>
        </w:rPr>
        <w:t>1.养老金水平</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2021年第17次调整企业退休人员养老金，月人均养老金达到3391元，比2017年增加541元，增长18.98%，年平均增长4.44%。全部按时足额发放。</w:t>
      </w:r>
    </w:p>
    <w:p>
      <w:pPr>
        <w:rPr>
          <w:rFonts w:ascii="仿宋_GB2312" w:eastAsia="仿宋_GB2312"/>
        </w:rPr>
      </w:pPr>
      <w:r>
        <w:rPr>
          <w:rFonts w:hint="eastAsia" w:ascii="仿宋_GB2312" w:eastAsia="仿宋_GB2312"/>
        </w:rPr>
        <w:drawing>
          <wp:inline distT="0" distB="0" distL="0" distR="0">
            <wp:extent cx="5624195" cy="2501265"/>
            <wp:effectExtent l="19050" t="19050" r="14605" b="133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2">
                      <a:extLst>
                        <a:ext uri="{28A0092B-C50C-407E-A947-70E740481C1C}">
                          <a14:useLocalDpi xmlns:a14="http://schemas.microsoft.com/office/drawing/2010/main" val="0"/>
                        </a:ext>
                      </a:extLst>
                    </a:blip>
                    <a:srcRect l="1635" t="2743" r="1657" b="3474"/>
                    <a:stretch>
                      <a:fillRect/>
                    </a:stretch>
                  </pic:blipFill>
                  <pic:spPr>
                    <a:xfrm>
                      <a:off x="0" y="0"/>
                      <a:ext cx="5686049" cy="2528726"/>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p>
      <w:pPr>
        <w:pStyle w:val="4"/>
        <w:spacing w:line="600" w:lineRule="exact"/>
        <w:jc w:val="center"/>
        <w:rPr>
          <w:rFonts w:ascii="仿宋_GB2312" w:hAnsi="Times New Roman" w:eastAsia="仿宋_GB2312"/>
          <w:spacing w:val="-20"/>
          <w:sz w:val="28"/>
          <w:szCs w:val="28"/>
        </w:rPr>
      </w:pPr>
      <w:r>
        <w:rPr>
          <w:rFonts w:hint="eastAsia" w:ascii="仿宋_GB2312" w:hAnsi="Times New Roman" w:eastAsia="仿宋_GB2312"/>
          <w:spacing w:val="-20"/>
          <w:sz w:val="28"/>
          <w:szCs w:val="28"/>
        </w:rPr>
        <w:t>图1-12：2017年-2021年全区城镇企业职工退休人员人均养老金对比图</w:t>
      </w:r>
    </w:p>
    <w:p>
      <w:pPr>
        <w:tabs>
          <w:tab w:val="left" w:pos="5580"/>
        </w:tabs>
        <w:spacing w:line="600" w:lineRule="exact"/>
        <w:ind w:firstLine="645"/>
        <w:jc w:val="left"/>
        <w:rPr>
          <w:rFonts w:ascii="仿宋_GB2312" w:eastAsia="仿宋_GB2312"/>
          <w:sz w:val="32"/>
          <w:szCs w:val="32"/>
        </w:rPr>
      </w:pPr>
      <w:r>
        <w:rPr>
          <w:rFonts w:hint="eastAsia" w:ascii="仿宋_GB2312" w:eastAsia="仿宋_GB2312"/>
          <w:b/>
          <w:bCs/>
          <w:sz w:val="32"/>
          <w:szCs w:val="32"/>
        </w:rPr>
        <w:t>4.养老金替代率</w:t>
      </w:r>
      <w:r>
        <w:rPr>
          <w:rFonts w:hint="eastAsia" w:ascii="仿宋_GB2312" w:eastAsia="仿宋_GB2312"/>
          <w:b/>
          <w:bCs/>
          <w:sz w:val="44"/>
          <w:szCs w:val="32"/>
          <w:vertAlign w:val="superscript"/>
        </w:rPr>
        <w:footnoteReference w:id="2"/>
      </w:r>
    </w:p>
    <w:p>
      <w:pPr>
        <w:spacing w:line="600" w:lineRule="exact"/>
        <w:ind w:firstLine="643" w:firstLineChars="200"/>
        <w:rPr>
          <w:rFonts w:ascii="仿宋_GB2312" w:eastAsia="仿宋_GB2312"/>
          <w:b/>
          <w:bCs/>
          <w:sz w:val="32"/>
          <w:szCs w:val="32"/>
        </w:rPr>
      </w:pPr>
      <w:r>
        <w:rPr>
          <w:rFonts w:hint="eastAsia" w:ascii="仿宋_GB2312" w:eastAsia="仿宋_GB2312"/>
          <w:b/>
          <w:bCs/>
          <w:sz w:val="32"/>
          <w:szCs w:val="32"/>
        </w:rPr>
        <w:t>（1）人均缴费基数情况</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2021年，城镇企业职工养老保险月人均缴费基数为4837元，比上年增加336元，增长7.47%；比2017年增加732元，年平均增长4.19%。</w:t>
      </w:r>
    </w:p>
    <w:p>
      <w:pPr>
        <w:jc w:val="center"/>
        <w:rPr>
          <w:rFonts w:ascii="仿宋_GB2312" w:eastAsia="仿宋_GB2312"/>
          <w:sz w:val="32"/>
          <w:szCs w:val="32"/>
        </w:rPr>
      </w:pPr>
      <w:r>
        <w:rPr>
          <w:rFonts w:hint="eastAsia" w:ascii="仿宋_GB2312" w:eastAsia="仿宋_GB2312"/>
          <w:sz w:val="32"/>
          <w:szCs w:val="32"/>
        </w:rPr>
        <w:drawing>
          <wp:inline distT="0" distB="0" distL="0" distR="0">
            <wp:extent cx="4996180" cy="3254375"/>
            <wp:effectExtent l="19050" t="19050" r="13970" b="222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3">
                      <a:extLst>
                        <a:ext uri="{28A0092B-C50C-407E-A947-70E740481C1C}">
                          <a14:useLocalDpi xmlns:a14="http://schemas.microsoft.com/office/drawing/2010/main" val="0"/>
                        </a:ext>
                      </a:extLst>
                    </a:blip>
                    <a:srcRect l="1034" t="2568" r="10766" b="2208"/>
                    <a:stretch>
                      <a:fillRect/>
                    </a:stretch>
                  </pic:blipFill>
                  <pic:spPr>
                    <a:xfrm>
                      <a:off x="0" y="0"/>
                      <a:ext cx="4998104" cy="3255562"/>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p>
      <w:pPr>
        <w:pStyle w:val="4"/>
        <w:spacing w:line="600" w:lineRule="exact"/>
        <w:jc w:val="center"/>
        <w:rPr>
          <w:rFonts w:ascii="仿宋_GB2312" w:hAnsi="Times New Roman" w:eastAsia="仿宋_GB2312"/>
          <w:sz w:val="28"/>
          <w:szCs w:val="28"/>
        </w:rPr>
      </w:pPr>
      <w:r>
        <w:rPr>
          <w:rFonts w:hint="eastAsia" w:ascii="仿宋_GB2312" w:hAnsi="Times New Roman" w:eastAsia="仿宋_GB2312"/>
          <w:sz w:val="28"/>
          <w:szCs w:val="28"/>
        </w:rPr>
        <w:t>图1-13：2017年-2021年人均缴费基数情况对比图</w:t>
      </w:r>
    </w:p>
    <w:p>
      <w:pPr>
        <w:spacing w:line="560" w:lineRule="exact"/>
        <w:ind w:firstLine="643" w:firstLineChars="200"/>
        <w:rPr>
          <w:rFonts w:ascii="仿宋_GB2312" w:eastAsia="仿宋_GB2312"/>
          <w:b/>
          <w:sz w:val="32"/>
          <w:szCs w:val="32"/>
        </w:rPr>
      </w:pPr>
      <w:r>
        <w:rPr>
          <w:rFonts w:hint="eastAsia" w:ascii="仿宋_GB2312" w:eastAsia="仿宋_GB2312"/>
          <w:b/>
          <w:sz w:val="32"/>
          <w:szCs w:val="32"/>
        </w:rPr>
        <w:t>（2）替代率情况</w:t>
      </w:r>
    </w:p>
    <w:p>
      <w:pPr>
        <w:spacing w:line="560" w:lineRule="exact"/>
        <w:ind w:firstLine="640" w:firstLineChars="200"/>
        <w:rPr>
          <w:rFonts w:ascii="仿宋_GB2312" w:eastAsia="仿宋_GB2312"/>
          <w:color w:val="000000"/>
          <w:kern w:val="32"/>
          <w:sz w:val="32"/>
          <w:szCs w:val="32"/>
        </w:rPr>
      </w:pPr>
      <w:r>
        <w:rPr>
          <w:rFonts w:hint="eastAsia" w:ascii="仿宋_GB2312" w:eastAsia="仿宋_GB2312"/>
          <w:sz w:val="32"/>
          <w:szCs w:val="32"/>
        </w:rPr>
        <w:t>2021年，企业退休人员养老金替代率为70.11%，比上年下降1.78个百分点。主要原因：</w:t>
      </w:r>
      <w:r>
        <w:rPr>
          <w:rFonts w:hint="eastAsia" w:ascii="仿宋_GB2312" w:eastAsia="仿宋_GB2312"/>
          <w:b/>
          <w:bCs/>
          <w:color w:val="000000"/>
          <w:sz w:val="32"/>
          <w:szCs w:val="32"/>
        </w:rPr>
        <w:t>一是</w:t>
      </w:r>
      <w:r>
        <w:rPr>
          <w:rFonts w:hint="eastAsia" w:ascii="仿宋_GB2312" w:eastAsia="仿宋_GB2312"/>
          <w:sz w:val="32"/>
          <w:szCs w:val="32"/>
        </w:rPr>
        <w:t>2020年我区最低缴费基数仍然沿用了2019年的最低缴费基数，而2021年的最低缴费基数为新基数，2021年最低缴费基数相比2020年提高了13.18%，全区平均缴费基数相比2020年增加明显。</w:t>
      </w:r>
      <w:r>
        <w:rPr>
          <w:rFonts w:hint="eastAsia" w:ascii="仿宋_GB2312" w:eastAsia="仿宋_GB2312"/>
          <w:b/>
          <w:bCs/>
          <w:color w:val="000000"/>
          <w:kern w:val="32"/>
          <w:sz w:val="32"/>
          <w:szCs w:val="32"/>
        </w:rPr>
        <w:t>二是</w:t>
      </w:r>
      <w:r>
        <w:rPr>
          <w:rFonts w:hint="eastAsia" w:ascii="仿宋_GB2312" w:eastAsia="仿宋_GB2312"/>
          <w:color w:val="000000"/>
          <w:kern w:val="32"/>
          <w:sz w:val="32"/>
          <w:szCs w:val="32"/>
        </w:rPr>
        <w:t>我区2021年的调待水平相比2020年降低，而且新退休人员待遇计算口径增长相比缴费人员缴费口径增长较小，所以2021年缴费水平提升高于新退休人员待遇提升。</w:t>
      </w:r>
      <w:r>
        <w:rPr>
          <w:rFonts w:hint="eastAsia" w:ascii="仿宋_GB2312" w:eastAsia="仿宋_GB2312"/>
          <w:b/>
          <w:bCs/>
          <w:color w:val="000000"/>
          <w:kern w:val="32"/>
          <w:sz w:val="32"/>
          <w:szCs w:val="32"/>
        </w:rPr>
        <w:t>三是</w:t>
      </w:r>
      <w:r>
        <w:rPr>
          <w:rFonts w:hint="eastAsia" w:ascii="仿宋_GB2312" w:eastAsia="仿宋_GB2312"/>
          <w:color w:val="000000"/>
          <w:kern w:val="32"/>
          <w:sz w:val="32"/>
          <w:szCs w:val="32"/>
        </w:rPr>
        <w:t>近些年随着我区加强社保缴费政策宣传，参保职工对“长缴多得、多缴多得”有了进一步的理解，加上疫情控制较好，整体经济环境好转，选择最低缴费基数人员减少，平均缴费基数上升。</w:t>
      </w:r>
    </w:p>
    <w:p>
      <w:pPr>
        <w:jc w:val="center"/>
        <w:rPr>
          <w:rFonts w:ascii="仿宋_GB2312" w:eastAsia="仿宋_GB2312"/>
          <w:sz w:val="32"/>
          <w:szCs w:val="32"/>
        </w:rPr>
      </w:pPr>
      <w:r>
        <w:rPr>
          <w:rFonts w:hint="eastAsia" w:ascii="仿宋_GB2312" w:eastAsia="仿宋_GB2312"/>
          <w:sz w:val="32"/>
          <w:szCs w:val="32"/>
        </w:rPr>
        <w:drawing>
          <wp:inline distT="0" distB="0" distL="0" distR="0">
            <wp:extent cx="5609590" cy="2885440"/>
            <wp:effectExtent l="19050" t="19050" r="10160" b="1016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609590" cy="2885440"/>
                    </a:xfrm>
                    <a:prstGeom prst="rect">
                      <a:avLst/>
                    </a:prstGeom>
                    <a:noFill/>
                    <a:ln w="9525">
                      <a:solidFill>
                        <a:schemeClr val="tx1"/>
                      </a:solidFill>
                    </a:ln>
                  </pic:spPr>
                </pic:pic>
              </a:graphicData>
            </a:graphic>
          </wp:inline>
        </w:drawing>
      </w:r>
    </w:p>
    <w:p>
      <w:pPr>
        <w:pStyle w:val="4"/>
        <w:spacing w:line="600" w:lineRule="exact"/>
        <w:jc w:val="center"/>
        <w:rPr>
          <w:rFonts w:ascii="仿宋_GB2312" w:hAnsi="Times New Roman" w:eastAsia="仿宋_GB2312"/>
          <w:sz w:val="28"/>
          <w:szCs w:val="28"/>
        </w:rPr>
      </w:pPr>
      <w:r>
        <w:rPr>
          <w:rFonts w:hint="eastAsia" w:ascii="仿宋_GB2312" w:hAnsi="Times New Roman" w:eastAsia="仿宋_GB2312"/>
          <w:sz w:val="28"/>
          <w:szCs w:val="28"/>
        </w:rPr>
        <w:t>图1-14：2017年-2021年企业退休人员养老金替代率对比图</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二、机关事业单位养老保险</w:t>
      </w:r>
    </w:p>
    <w:p>
      <w:pPr>
        <w:spacing w:line="560" w:lineRule="exact"/>
        <w:ind w:firstLine="643" w:firstLineChars="200"/>
        <w:rPr>
          <w:rFonts w:ascii="仿宋_GB2312" w:eastAsia="仿宋_GB2312"/>
          <w:sz w:val="28"/>
          <w:szCs w:val="28"/>
        </w:rPr>
      </w:pPr>
      <w:r>
        <w:rPr>
          <w:rFonts w:hint="eastAsia" w:ascii="楷体_GB2312" w:eastAsia="楷体_GB2312"/>
          <w:b/>
          <w:sz w:val="32"/>
          <w:szCs w:val="32"/>
        </w:rPr>
        <w:t>（一）参保情况。</w:t>
      </w:r>
      <w:r>
        <w:rPr>
          <w:rFonts w:hint="eastAsia" w:ascii="仿宋_GB2312" w:eastAsia="仿宋_GB2312"/>
          <w:sz w:val="32"/>
          <w:szCs w:val="32"/>
        </w:rPr>
        <w:t>截至2021年末，全区机关事业单位基本养老保险参保人员达到32.16万人，比上年增加0.82万人，增长2.62%。</w:t>
      </w:r>
    </w:p>
    <w:p>
      <w:pPr>
        <w:autoSpaceDE w:val="0"/>
        <w:autoSpaceDN w:val="0"/>
        <w:adjustRightInd w:val="0"/>
        <w:snapToGrid w:val="0"/>
        <w:spacing w:line="600" w:lineRule="exact"/>
        <w:jc w:val="center"/>
        <w:rPr>
          <w:rFonts w:ascii="仿宋_GB2312" w:eastAsia="仿宋_GB2312"/>
          <w:sz w:val="28"/>
          <w:szCs w:val="28"/>
        </w:rPr>
      </w:pPr>
      <w:r>
        <w:rPr>
          <w:rFonts w:hint="eastAsia" w:ascii="仿宋_GB2312" w:eastAsia="仿宋_GB2312"/>
          <w:sz w:val="28"/>
          <w:szCs w:val="28"/>
        </w:rPr>
        <w:t>表1-6：2021年分市县机关事业单位基本养老保险参保情况表</w:t>
      </w:r>
    </w:p>
    <w:p>
      <w:pPr>
        <w:autoSpaceDE w:val="0"/>
        <w:autoSpaceDN w:val="0"/>
        <w:adjustRightInd w:val="0"/>
        <w:snapToGrid w:val="0"/>
        <w:ind w:firstLine="621" w:firstLineChars="221"/>
        <w:rPr>
          <w:rFonts w:ascii="仿宋_GB2312" w:eastAsia="仿宋_GB2312"/>
          <w:color w:val="000000"/>
          <w:kern w:val="0"/>
          <w:sz w:val="28"/>
          <w:szCs w:val="28"/>
        </w:rPr>
      </w:pPr>
      <w:r>
        <w:rPr>
          <w:rFonts w:hint="eastAsia" w:ascii="仿宋_GB2312" w:eastAsia="仿宋_GB2312"/>
          <w:b/>
          <w:color w:val="000000"/>
          <w:kern w:val="0"/>
          <w:sz w:val="28"/>
          <w:szCs w:val="28"/>
        </w:rPr>
        <w:t xml:space="preserve">                                         </w:t>
      </w:r>
      <w:r>
        <w:rPr>
          <w:rFonts w:hint="eastAsia" w:ascii="仿宋_GB2312" w:eastAsia="仿宋_GB2312"/>
          <w:color w:val="000000"/>
          <w:kern w:val="0"/>
          <w:sz w:val="28"/>
          <w:szCs w:val="28"/>
        </w:rPr>
        <w:t>单位：万人</w:t>
      </w:r>
    </w:p>
    <w:tbl>
      <w:tblPr>
        <w:tblStyle w:val="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2265"/>
        <w:gridCol w:w="2265"/>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widowControl/>
              <w:jc w:val="center"/>
              <w:rPr>
                <w:rFonts w:ascii="仿宋_GB2312" w:eastAsia="仿宋_GB2312"/>
                <w:color w:val="000000"/>
                <w:kern w:val="0"/>
                <w:szCs w:val="21"/>
              </w:rPr>
            </w:pPr>
            <w:r>
              <w:rPr>
                <w:rFonts w:hint="eastAsia" w:ascii="仿宋_GB2312" w:eastAsia="仿宋_GB2312"/>
                <w:color w:val="000000"/>
                <w:kern w:val="0"/>
                <w:szCs w:val="21"/>
              </w:rPr>
              <w:t>地区</w:t>
            </w:r>
          </w:p>
        </w:tc>
        <w:tc>
          <w:tcPr>
            <w:tcW w:w="2265" w:type="dxa"/>
            <w:vAlign w:val="center"/>
          </w:tcPr>
          <w:p>
            <w:pPr>
              <w:widowControl/>
              <w:jc w:val="center"/>
              <w:rPr>
                <w:rFonts w:ascii="仿宋_GB2312" w:eastAsia="仿宋_GB2312"/>
                <w:color w:val="000000"/>
                <w:kern w:val="0"/>
                <w:szCs w:val="21"/>
              </w:rPr>
            </w:pPr>
            <w:r>
              <w:rPr>
                <w:rFonts w:hint="eastAsia" w:ascii="仿宋_GB2312" w:eastAsia="仿宋_GB2312"/>
                <w:color w:val="000000"/>
                <w:kern w:val="0"/>
                <w:szCs w:val="21"/>
              </w:rPr>
              <w:t>参保人数</w:t>
            </w:r>
          </w:p>
        </w:tc>
        <w:tc>
          <w:tcPr>
            <w:tcW w:w="2265" w:type="dxa"/>
            <w:vAlign w:val="center"/>
          </w:tcPr>
          <w:p>
            <w:pPr>
              <w:widowControl/>
              <w:jc w:val="center"/>
              <w:rPr>
                <w:rFonts w:ascii="仿宋_GB2312" w:eastAsia="仿宋_GB2312"/>
                <w:color w:val="000000"/>
                <w:kern w:val="0"/>
                <w:szCs w:val="21"/>
              </w:rPr>
            </w:pPr>
            <w:r>
              <w:rPr>
                <w:rFonts w:hint="eastAsia" w:ascii="仿宋_GB2312" w:eastAsia="仿宋_GB2312"/>
                <w:color w:val="000000"/>
                <w:kern w:val="0"/>
                <w:szCs w:val="21"/>
              </w:rPr>
              <w:t>地区</w:t>
            </w:r>
          </w:p>
        </w:tc>
        <w:tc>
          <w:tcPr>
            <w:tcW w:w="2265" w:type="dxa"/>
            <w:vAlign w:val="center"/>
          </w:tcPr>
          <w:p>
            <w:pPr>
              <w:widowControl/>
              <w:jc w:val="center"/>
              <w:rPr>
                <w:rFonts w:ascii="仿宋_GB2312" w:eastAsia="仿宋_GB2312"/>
                <w:color w:val="000000"/>
                <w:kern w:val="0"/>
                <w:szCs w:val="21"/>
              </w:rPr>
            </w:pPr>
            <w:r>
              <w:rPr>
                <w:rFonts w:hint="eastAsia" w:ascii="仿宋_GB2312" w:eastAsia="仿宋_GB2312"/>
                <w:color w:val="000000"/>
                <w:kern w:val="0"/>
                <w:szCs w:val="21"/>
              </w:rPr>
              <w:t>参保人数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ascii="仿宋_GB2312" w:eastAsia="仿宋_GB2312"/>
                <w:szCs w:val="21"/>
              </w:rPr>
            </w:pPr>
            <w:r>
              <w:rPr>
                <w:rFonts w:hint="eastAsia" w:ascii="仿宋_GB2312" w:eastAsia="仿宋_GB2312"/>
                <w:szCs w:val="21"/>
              </w:rPr>
              <w:t>银川市（市本级）</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 xml:space="preserve"> 3.83  </w:t>
            </w:r>
          </w:p>
        </w:tc>
        <w:tc>
          <w:tcPr>
            <w:tcW w:w="2265" w:type="dxa"/>
            <w:vAlign w:val="center"/>
          </w:tcPr>
          <w:p>
            <w:pPr>
              <w:jc w:val="center"/>
              <w:rPr>
                <w:rFonts w:ascii="仿宋_GB2312" w:eastAsia="仿宋_GB2312"/>
                <w:szCs w:val="21"/>
              </w:rPr>
            </w:pPr>
            <w:r>
              <w:rPr>
                <w:rFonts w:hint="eastAsia" w:ascii="仿宋_GB2312" w:eastAsia="仿宋_GB2312"/>
                <w:szCs w:val="21"/>
              </w:rPr>
              <w:t>红寺堡</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 xml:space="preserve">  0.43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ascii="仿宋_GB2312" w:eastAsia="仿宋_GB2312"/>
                <w:szCs w:val="21"/>
              </w:rPr>
            </w:pPr>
            <w:r>
              <w:rPr>
                <w:rFonts w:hint="eastAsia" w:ascii="仿宋_GB2312" w:eastAsia="仿宋_GB2312"/>
                <w:szCs w:val="21"/>
              </w:rPr>
              <w:t>灵武市</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 xml:space="preserve"> 1.07  </w:t>
            </w:r>
          </w:p>
        </w:tc>
        <w:tc>
          <w:tcPr>
            <w:tcW w:w="2265" w:type="dxa"/>
            <w:vAlign w:val="center"/>
          </w:tcPr>
          <w:p>
            <w:pPr>
              <w:jc w:val="center"/>
              <w:rPr>
                <w:rFonts w:ascii="仿宋_GB2312" w:eastAsia="仿宋_GB2312"/>
                <w:szCs w:val="21"/>
              </w:rPr>
            </w:pPr>
            <w:r>
              <w:rPr>
                <w:rFonts w:hint="eastAsia" w:ascii="仿宋_GB2312" w:eastAsia="仿宋_GB2312"/>
                <w:szCs w:val="21"/>
              </w:rPr>
              <w:t>固原市（市本级）</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 xml:space="preserve"> 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ascii="仿宋_GB2312" w:eastAsia="仿宋_GB2312"/>
                <w:szCs w:val="21"/>
              </w:rPr>
            </w:pPr>
            <w:r>
              <w:rPr>
                <w:rFonts w:hint="eastAsia" w:ascii="仿宋_GB2312" w:eastAsia="仿宋_GB2312"/>
                <w:szCs w:val="21"/>
              </w:rPr>
              <w:t>永宁县</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 xml:space="preserve"> 0.73 </w:t>
            </w:r>
          </w:p>
        </w:tc>
        <w:tc>
          <w:tcPr>
            <w:tcW w:w="2265" w:type="dxa"/>
            <w:vAlign w:val="center"/>
          </w:tcPr>
          <w:p>
            <w:pPr>
              <w:jc w:val="center"/>
              <w:rPr>
                <w:rFonts w:ascii="仿宋_GB2312" w:eastAsia="仿宋_GB2312"/>
                <w:szCs w:val="21"/>
              </w:rPr>
            </w:pPr>
            <w:r>
              <w:rPr>
                <w:rFonts w:hint="eastAsia" w:ascii="仿宋_GB2312" w:eastAsia="仿宋_GB2312"/>
                <w:szCs w:val="21"/>
              </w:rPr>
              <w:t>西吉县</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 xml:space="preserve"> 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ascii="仿宋_GB2312" w:eastAsia="仿宋_GB2312"/>
                <w:szCs w:val="21"/>
              </w:rPr>
            </w:pPr>
            <w:r>
              <w:rPr>
                <w:rFonts w:hint="eastAsia" w:ascii="仿宋_GB2312" w:eastAsia="仿宋_GB2312"/>
                <w:szCs w:val="21"/>
              </w:rPr>
              <w:t>贺兰县</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 xml:space="preserve"> 0.72 </w:t>
            </w:r>
          </w:p>
        </w:tc>
        <w:tc>
          <w:tcPr>
            <w:tcW w:w="2265" w:type="dxa"/>
            <w:vAlign w:val="center"/>
          </w:tcPr>
          <w:p>
            <w:pPr>
              <w:jc w:val="center"/>
              <w:rPr>
                <w:rFonts w:ascii="仿宋_GB2312" w:eastAsia="仿宋_GB2312"/>
                <w:szCs w:val="21"/>
              </w:rPr>
            </w:pPr>
            <w:r>
              <w:rPr>
                <w:rFonts w:hint="eastAsia" w:ascii="仿宋_GB2312" w:eastAsia="仿宋_GB2312"/>
                <w:szCs w:val="21"/>
              </w:rPr>
              <w:t>隆德县</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 xml:space="preserve">  0.73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ascii="仿宋_GB2312" w:eastAsia="仿宋_GB2312"/>
                <w:szCs w:val="21"/>
              </w:rPr>
            </w:pPr>
            <w:r>
              <w:rPr>
                <w:rFonts w:hint="eastAsia" w:ascii="仿宋_GB2312" w:eastAsia="仿宋_GB2312"/>
                <w:szCs w:val="21"/>
              </w:rPr>
              <w:t>宁东能源化工基地</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w:t>
            </w:r>
          </w:p>
        </w:tc>
        <w:tc>
          <w:tcPr>
            <w:tcW w:w="2265" w:type="dxa"/>
            <w:vAlign w:val="center"/>
          </w:tcPr>
          <w:p>
            <w:pPr>
              <w:jc w:val="center"/>
              <w:rPr>
                <w:rFonts w:ascii="仿宋_GB2312" w:eastAsia="仿宋_GB2312"/>
                <w:szCs w:val="21"/>
              </w:rPr>
            </w:pPr>
            <w:r>
              <w:rPr>
                <w:rFonts w:hint="eastAsia" w:ascii="仿宋_GB2312" w:eastAsia="仿宋_GB2312"/>
                <w:szCs w:val="21"/>
              </w:rPr>
              <w:t>泾源县</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 xml:space="preserve">  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ascii="仿宋_GB2312" w:eastAsia="仿宋_GB2312"/>
                <w:szCs w:val="21"/>
              </w:rPr>
            </w:pPr>
            <w:r>
              <w:rPr>
                <w:rFonts w:hint="eastAsia" w:ascii="仿宋_GB2312" w:eastAsia="仿宋_GB2312"/>
                <w:szCs w:val="21"/>
              </w:rPr>
              <w:t>石嘴山市（市本级）</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 xml:space="preserve"> 1.88  </w:t>
            </w:r>
          </w:p>
        </w:tc>
        <w:tc>
          <w:tcPr>
            <w:tcW w:w="2265" w:type="dxa"/>
            <w:vAlign w:val="center"/>
          </w:tcPr>
          <w:p>
            <w:pPr>
              <w:jc w:val="center"/>
              <w:rPr>
                <w:rFonts w:ascii="仿宋_GB2312" w:eastAsia="仿宋_GB2312"/>
                <w:szCs w:val="21"/>
              </w:rPr>
            </w:pPr>
            <w:r>
              <w:rPr>
                <w:rFonts w:hint="eastAsia" w:ascii="仿宋_GB2312" w:eastAsia="仿宋_GB2312"/>
                <w:szCs w:val="21"/>
              </w:rPr>
              <w:t>彭阳县</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 xml:space="preserve">  0.76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ascii="仿宋_GB2312" w:eastAsia="仿宋_GB2312"/>
                <w:szCs w:val="21"/>
              </w:rPr>
            </w:pPr>
            <w:r>
              <w:rPr>
                <w:rFonts w:hint="eastAsia" w:ascii="仿宋_GB2312" w:eastAsia="仿宋_GB2312"/>
                <w:szCs w:val="21"/>
              </w:rPr>
              <w:t>平罗县</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 xml:space="preserve"> 1.11  </w:t>
            </w:r>
          </w:p>
        </w:tc>
        <w:tc>
          <w:tcPr>
            <w:tcW w:w="2265" w:type="dxa"/>
            <w:vAlign w:val="center"/>
          </w:tcPr>
          <w:p>
            <w:pPr>
              <w:jc w:val="center"/>
              <w:rPr>
                <w:rFonts w:ascii="仿宋_GB2312" w:eastAsia="仿宋_GB2312"/>
                <w:szCs w:val="21"/>
              </w:rPr>
            </w:pPr>
            <w:r>
              <w:rPr>
                <w:rFonts w:hint="eastAsia" w:ascii="仿宋_GB2312" w:eastAsia="仿宋_GB2312"/>
                <w:szCs w:val="21"/>
              </w:rPr>
              <w:t>中卫市（市本级）</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 xml:space="preserve">  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ascii="仿宋_GB2312" w:eastAsia="仿宋_GB2312"/>
                <w:szCs w:val="21"/>
              </w:rPr>
            </w:pPr>
            <w:r>
              <w:rPr>
                <w:rFonts w:hint="eastAsia" w:ascii="仿宋_GB2312" w:eastAsia="仿宋_GB2312"/>
                <w:szCs w:val="21"/>
              </w:rPr>
              <w:t>吴忠市（市本级）</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 xml:space="preserve"> 1.67  </w:t>
            </w:r>
          </w:p>
        </w:tc>
        <w:tc>
          <w:tcPr>
            <w:tcW w:w="2265" w:type="dxa"/>
            <w:vAlign w:val="center"/>
          </w:tcPr>
          <w:p>
            <w:pPr>
              <w:jc w:val="center"/>
              <w:rPr>
                <w:rFonts w:ascii="仿宋_GB2312" w:eastAsia="仿宋_GB2312"/>
                <w:szCs w:val="21"/>
              </w:rPr>
            </w:pPr>
            <w:r>
              <w:rPr>
                <w:rFonts w:hint="eastAsia" w:ascii="仿宋_GB2312" w:eastAsia="仿宋_GB2312"/>
                <w:szCs w:val="21"/>
              </w:rPr>
              <w:t>中宁县</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 xml:space="preserve">  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ascii="仿宋_GB2312" w:eastAsia="仿宋_GB2312"/>
                <w:szCs w:val="21"/>
              </w:rPr>
            </w:pPr>
            <w:r>
              <w:rPr>
                <w:rFonts w:hint="eastAsia" w:ascii="仿宋_GB2312" w:eastAsia="仿宋_GB2312"/>
                <w:szCs w:val="21"/>
              </w:rPr>
              <w:t>青铜峡市</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 xml:space="preserve"> 1.10 </w:t>
            </w:r>
          </w:p>
        </w:tc>
        <w:tc>
          <w:tcPr>
            <w:tcW w:w="2265" w:type="dxa"/>
            <w:vAlign w:val="center"/>
          </w:tcPr>
          <w:p>
            <w:pPr>
              <w:jc w:val="center"/>
              <w:rPr>
                <w:rFonts w:ascii="仿宋_GB2312" w:eastAsia="仿宋_GB2312"/>
                <w:szCs w:val="21"/>
              </w:rPr>
            </w:pPr>
            <w:r>
              <w:rPr>
                <w:rFonts w:hint="eastAsia" w:ascii="仿宋_GB2312" w:eastAsia="仿宋_GB2312"/>
                <w:szCs w:val="21"/>
              </w:rPr>
              <w:t>海原县</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 xml:space="preserve">  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ascii="仿宋_GB2312" w:eastAsia="仿宋_GB2312"/>
                <w:szCs w:val="21"/>
              </w:rPr>
            </w:pPr>
            <w:r>
              <w:rPr>
                <w:rFonts w:hint="eastAsia" w:ascii="仿宋_GB2312" w:eastAsia="仿宋_GB2312"/>
                <w:szCs w:val="21"/>
              </w:rPr>
              <w:t>盐池县</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 xml:space="preserve"> 0.70  </w:t>
            </w:r>
          </w:p>
        </w:tc>
        <w:tc>
          <w:tcPr>
            <w:tcW w:w="2265" w:type="dxa"/>
            <w:vAlign w:val="center"/>
          </w:tcPr>
          <w:p>
            <w:pPr>
              <w:jc w:val="center"/>
              <w:rPr>
                <w:rFonts w:ascii="仿宋_GB2312" w:eastAsia="仿宋_GB2312"/>
                <w:szCs w:val="21"/>
              </w:rPr>
            </w:pPr>
            <w:r>
              <w:rPr>
                <w:rFonts w:hint="eastAsia" w:ascii="仿宋_GB2312" w:eastAsia="仿宋_GB2312"/>
                <w:szCs w:val="21"/>
              </w:rPr>
              <w:t>区本级</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 xml:space="preserve">  8.78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vAlign w:val="center"/>
          </w:tcPr>
          <w:p>
            <w:pPr>
              <w:jc w:val="center"/>
              <w:rPr>
                <w:rFonts w:ascii="仿宋_GB2312" w:eastAsia="仿宋_GB2312"/>
                <w:szCs w:val="21"/>
              </w:rPr>
            </w:pPr>
            <w:r>
              <w:rPr>
                <w:rFonts w:hint="eastAsia" w:ascii="仿宋_GB2312" w:eastAsia="仿宋_GB2312"/>
                <w:szCs w:val="21"/>
              </w:rPr>
              <w:t>同心县</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 xml:space="preserve"> 1.17  </w:t>
            </w:r>
          </w:p>
        </w:tc>
        <w:tc>
          <w:tcPr>
            <w:tcW w:w="2265" w:type="dxa"/>
            <w:vAlign w:val="center"/>
          </w:tcPr>
          <w:p>
            <w:pPr>
              <w:jc w:val="center"/>
              <w:rPr>
                <w:rFonts w:ascii="仿宋_GB2312" w:eastAsia="仿宋_GB2312"/>
                <w:szCs w:val="21"/>
              </w:rPr>
            </w:pPr>
            <w:r>
              <w:rPr>
                <w:rFonts w:hint="eastAsia" w:ascii="仿宋_GB2312" w:eastAsia="仿宋_GB2312"/>
                <w:szCs w:val="21"/>
              </w:rPr>
              <w:t>合计</w:t>
            </w:r>
          </w:p>
        </w:tc>
        <w:tc>
          <w:tcPr>
            <w:tcW w:w="2265" w:type="dxa"/>
            <w:vAlign w:val="center"/>
          </w:tcPr>
          <w:p>
            <w:pPr>
              <w:jc w:val="center"/>
              <w:rPr>
                <w:rFonts w:ascii="仿宋_GB2312" w:eastAsia="仿宋_GB2312"/>
                <w:sz w:val="20"/>
                <w:szCs w:val="20"/>
              </w:rPr>
            </w:pPr>
            <w:r>
              <w:rPr>
                <w:rFonts w:hint="eastAsia" w:ascii="仿宋_GB2312" w:eastAsia="仿宋_GB2312"/>
                <w:sz w:val="20"/>
                <w:szCs w:val="20"/>
              </w:rPr>
              <w:t xml:space="preserve">  32.16</w:t>
            </w:r>
          </w:p>
        </w:tc>
      </w:tr>
    </w:tbl>
    <w:p>
      <w:pPr>
        <w:spacing w:line="560" w:lineRule="exact"/>
        <w:ind w:firstLine="643" w:firstLineChars="200"/>
        <w:rPr>
          <w:rFonts w:ascii="仿宋_GB2312" w:eastAsia="仿宋_GB2312"/>
          <w:b/>
          <w:sz w:val="32"/>
          <w:szCs w:val="32"/>
        </w:rPr>
      </w:pPr>
    </w:p>
    <w:p>
      <w:pPr>
        <w:spacing w:line="560" w:lineRule="exact"/>
        <w:ind w:firstLine="643" w:firstLineChars="200"/>
        <w:rPr>
          <w:rFonts w:ascii="仿宋_GB2312" w:eastAsia="仿宋_GB2312"/>
          <w:b/>
          <w:sz w:val="32"/>
          <w:szCs w:val="32"/>
        </w:rPr>
      </w:pPr>
      <w:r>
        <w:rPr>
          <w:rFonts w:hint="eastAsia" w:ascii="仿宋_GB2312" w:eastAsia="仿宋_GB2312"/>
          <w:b/>
          <w:sz w:val="32"/>
          <w:szCs w:val="32"/>
        </w:rPr>
        <w:t>1.参保人员构成情况</w:t>
      </w:r>
    </w:p>
    <w:p>
      <w:pPr>
        <w:spacing w:line="560" w:lineRule="exact"/>
        <w:ind w:firstLine="643" w:firstLineChars="200"/>
        <w:rPr>
          <w:rFonts w:ascii="仿宋_GB2312" w:eastAsia="仿宋_GB2312"/>
          <w:b/>
          <w:sz w:val="32"/>
          <w:szCs w:val="32"/>
        </w:rPr>
      </w:pPr>
      <w:r>
        <w:rPr>
          <w:rFonts w:hint="eastAsia" w:ascii="仿宋_GB2312" w:eastAsia="仿宋_GB2312"/>
          <w:b/>
          <w:sz w:val="32"/>
          <w:szCs w:val="32"/>
        </w:rPr>
        <w:t>（1）按单位类型</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截至2021年底，机关单位参保人员为11.70万人，比上年增加0.41万人，增长率为3.63%，占全部参保人员的36.38%。事业单位参保人员为20.32万人，比上年增加0.41万人，增长率为2.06%，占全部参保人员的63.18%。其他单位（指根据国家和自治区规定，参加机关事业单位养老保险制度的社会团体等单位，下同）参保人员为0.14万人，占全部参保人员的0.44% ，与上年参保人数持平。</w:t>
      </w:r>
    </w:p>
    <w:p>
      <w:pPr>
        <w:rPr>
          <w:rFonts w:ascii="仿宋_GB2312" w:eastAsia="仿宋_GB2312"/>
          <w:sz w:val="32"/>
          <w:szCs w:val="32"/>
        </w:rPr>
      </w:pPr>
      <w:r>
        <w:rPr>
          <w:rFonts w:hint="eastAsia" w:ascii="仿宋_GB2312" w:eastAsia="仿宋_GB2312"/>
          <w:sz w:val="32"/>
          <w:szCs w:val="32"/>
        </w:rPr>
        <w:drawing>
          <wp:inline distT="0" distB="0" distL="0" distR="0">
            <wp:extent cx="5847715" cy="3818255"/>
            <wp:effectExtent l="0" t="0" r="635"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847715" cy="3818255"/>
                    </a:xfrm>
                    <a:prstGeom prst="rect">
                      <a:avLst/>
                    </a:prstGeom>
                    <a:noFill/>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图1-15：参保人员中机关、事业、其他单位分布情况</w:t>
      </w:r>
    </w:p>
    <w:p>
      <w:pPr>
        <w:spacing w:line="560" w:lineRule="exact"/>
        <w:ind w:firstLine="626" w:firstLineChars="195"/>
        <w:rPr>
          <w:rFonts w:ascii="仿宋_GB2312" w:eastAsia="仿宋_GB2312"/>
          <w:b/>
          <w:sz w:val="32"/>
          <w:szCs w:val="32"/>
        </w:rPr>
      </w:pPr>
      <w:r>
        <w:rPr>
          <w:rFonts w:hint="eastAsia" w:ascii="仿宋_GB2312" w:eastAsia="仿宋_GB2312"/>
          <w:b/>
          <w:sz w:val="32"/>
          <w:szCs w:val="32"/>
        </w:rPr>
        <w:t>（2）按人员类别</w:t>
      </w:r>
    </w:p>
    <w:p>
      <w:pPr>
        <w:spacing w:line="560" w:lineRule="exact"/>
        <w:ind w:firstLine="624" w:firstLineChars="195"/>
        <w:jc w:val="both"/>
        <w:rPr>
          <w:rFonts w:ascii="仿宋_GB2312" w:eastAsia="仿宋_GB2312"/>
          <w:sz w:val="28"/>
          <w:szCs w:val="28"/>
        </w:rPr>
      </w:pPr>
      <w:r>
        <w:rPr>
          <w:rFonts w:hint="eastAsia" w:ascii="仿宋_GB2312" w:eastAsia="仿宋_GB2312"/>
          <w:sz w:val="32"/>
          <w:szCs w:val="32"/>
        </w:rPr>
        <w:t>截至2021年底，参保职工20.91万人，比上年增加0.51万人，增长率为2.50%，占全部参保人员的65.02%。离退休人员11.25    万人，比上年增加0.31万人，增长率为2.83%，占全部参保人员的34.98%。</w:t>
      </w:r>
    </w:p>
    <w:p>
      <w:pPr>
        <w:jc w:val="center"/>
        <w:rPr>
          <w:rFonts w:ascii="仿宋_GB2312" w:eastAsia="仿宋_GB2312"/>
          <w:sz w:val="28"/>
          <w:szCs w:val="28"/>
        </w:rPr>
      </w:pPr>
      <w:r>
        <w:rPr>
          <w:rFonts w:hint="eastAsia" w:ascii="仿宋_GB2312" w:eastAsia="仿宋_GB2312"/>
          <w:sz w:val="28"/>
          <w:szCs w:val="28"/>
        </w:rPr>
        <w:drawing>
          <wp:inline distT="0" distB="0" distL="0" distR="0">
            <wp:extent cx="5571490" cy="328549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571490" cy="3285490"/>
                    </a:xfrm>
                    <a:prstGeom prst="rect">
                      <a:avLst/>
                    </a:prstGeom>
                    <a:noFill/>
                  </pic:spPr>
                </pic:pic>
              </a:graphicData>
            </a:graphic>
          </wp:inline>
        </w:drawing>
      </w:r>
    </w:p>
    <w:p>
      <w:pPr>
        <w:spacing w:line="600" w:lineRule="exact"/>
        <w:jc w:val="center"/>
        <w:rPr>
          <w:rFonts w:ascii="仿宋_GB2312" w:eastAsia="仿宋_GB2312"/>
          <w:b/>
          <w:sz w:val="28"/>
          <w:szCs w:val="28"/>
        </w:rPr>
      </w:pPr>
      <w:r>
        <w:rPr>
          <w:rFonts w:hint="eastAsia" w:ascii="仿宋_GB2312" w:eastAsia="仿宋_GB2312"/>
          <w:sz w:val="28"/>
          <w:szCs w:val="28"/>
        </w:rPr>
        <w:t>图1-16：参保人数中在职与退休人员占比情况</w:t>
      </w:r>
    </w:p>
    <w:p>
      <w:pPr>
        <w:spacing w:line="560" w:lineRule="exact"/>
        <w:ind w:firstLine="643" w:firstLineChars="200"/>
        <w:jc w:val="both"/>
        <w:rPr>
          <w:rFonts w:ascii="仿宋_GB2312" w:eastAsia="仿宋_GB2312"/>
          <w:b/>
          <w:sz w:val="32"/>
          <w:szCs w:val="32"/>
        </w:rPr>
      </w:pPr>
      <w:r>
        <w:rPr>
          <w:rFonts w:hint="eastAsia" w:ascii="仿宋_GB2312" w:eastAsia="仿宋_GB2312"/>
          <w:b/>
          <w:sz w:val="32"/>
          <w:szCs w:val="32"/>
        </w:rPr>
        <w:t>2.参保职工情况</w:t>
      </w:r>
    </w:p>
    <w:p>
      <w:pPr>
        <w:spacing w:line="560" w:lineRule="exact"/>
        <w:ind w:firstLine="640" w:firstLineChars="200"/>
        <w:jc w:val="both"/>
        <w:rPr>
          <w:rFonts w:ascii="仿宋_GB2312" w:eastAsia="仿宋_GB2312"/>
          <w:sz w:val="32"/>
          <w:szCs w:val="32"/>
        </w:rPr>
      </w:pPr>
      <w:r>
        <w:rPr>
          <w:rFonts w:hint="eastAsia" w:ascii="仿宋_GB2312" w:eastAsia="仿宋_GB2312"/>
          <w:sz w:val="32"/>
          <w:szCs w:val="32"/>
        </w:rPr>
        <w:t>截至2021年底，机关事业单位养老保险参保职工达到20.91万人，比上年增加0.51万人，增长2.5%。</w:t>
      </w:r>
    </w:p>
    <w:p>
      <w:pPr>
        <w:spacing w:line="560" w:lineRule="exact"/>
        <w:ind w:firstLine="643" w:firstLineChars="200"/>
        <w:jc w:val="both"/>
        <w:rPr>
          <w:rFonts w:ascii="仿宋_GB2312" w:eastAsia="仿宋_GB2312"/>
          <w:b/>
          <w:sz w:val="32"/>
          <w:szCs w:val="32"/>
        </w:rPr>
      </w:pPr>
      <w:r>
        <w:rPr>
          <w:rFonts w:hint="eastAsia" w:ascii="仿宋_GB2312" w:eastAsia="仿宋_GB2312"/>
          <w:b/>
          <w:sz w:val="32"/>
          <w:szCs w:val="32"/>
        </w:rPr>
        <w:t>（1）构成分布</w:t>
      </w:r>
    </w:p>
    <w:p>
      <w:pPr>
        <w:spacing w:line="560" w:lineRule="exact"/>
        <w:ind w:firstLine="640" w:firstLineChars="200"/>
        <w:jc w:val="both"/>
        <w:rPr>
          <w:rFonts w:ascii="仿宋_GB2312" w:eastAsia="仿宋_GB2312"/>
          <w:sz w:val="32"/>
          <w:szCs w:val="32"/>
        </w:rPr>
      </w:pPr>
      <w:r>
        <w:rPr>
          <w:rFonts w:hint="eastAsia" w:ascii="仿宋_GB2312" w:eastAsia="仿宋_GB2312"/>
          <w:sz w:val="32"/>
          <w:szCs w:val="32"/>
        </w:rPr>
        <w:t>截至2021年底，机关单位参保职工达到 7.67万人，占参保职工的36.68%，事业单位参保职工达到13.15万人，占参保职工的62.89%，其他单位参保职工达到0.09万人，占参保职工的0.43%。</w:t>
      </w:r>
    </w:p>
    <w:p>
      <w:pPr>
        <w:jc w:val="center"/>
        <w:rPr>
          <w:rFonts w:ascii="仿宋_GB2312" w:eastAsia="仿宋_GB2312"/>
          <w:sz w:val="32"/>
          <w:szCs w:val="32"/>
        </w:rPr>
      </w:pPr>
      <w:r>
        <w:rPr>
          <w:rFonts w:hint="eastAsia" w:ascii="仿宋_GB2312" w:eastAsia="仿宋_GB2312"/>
          <w:sz w:val="32"/>
          <w:szCs w:val="32"/>
        </w:rPr>
        <w:drawing>
          <wp:inline distT="0" distB="0" distL="0" distR="0">
            <wp:extent cx="4439285" cy="28473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449780" cy="2854008"/>
                    </a:xfrm>
                    <a:prstGeom prst="rect">
                      <a:avLst/>
                    </a:prstGeom>
                    <a:noFill/>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图1-17：参保职工中机关、事业、其他单位分布情况</w:t>
      </w:r>
    </w:p>
    <w:p>
      <w:pPr>
        <w:numPr>
          <w:ilvl w:val="0"/>
          <w:numId w:val="1"/>
        </w:numPr>
        <w:spacing w:line="560" w:lineRule="exact"/>
        <w:ind w:firstLine="643" w:firstLineChars="200"/>
        <w:rPr>
          <w:rFonts w:ascii="仿宋_GB2312" w:eastAsia="仿宋_GB2312"/>
          <w:sz w:val="32"/>
          <w:szCs w:val="32"/>
        </w:rPr>
      </w:pPr>
      <w:r>
        <w:rPr>
          <w:rFonts w:hint="eastAsia" w:ascii="仿宋_GB2312" w:eastAsia="仿宋_GB2312"/>
          <w:b/>
          <w:sz w:val="32"/>
          <w:szCs w:val="32"/>
        </w:rPr>
        <w:t>变化趋势。</w:t>
      </w:r>
      <w:r>
        <w:rPr>
          <w:rFonts w:hint="eastAsia" w:ascii="仿宋_GB2312" w:eastAsia="仿宋_GB2312"/>
          <w:sz w:val="32"/>
          <w:szCs w:val="32"/>
        </w:rPr>
        <w:t>2017年至2019年，参保职工逐年增加，2020年较2019年少量减少，2021年较2020年增长明显。2020年受疫情影响，我区公务员、事业单位招考工作较以往推迟约半年，新录用人员未于2020年全部参保登记，部分于2021年参保登记，导致2020年参保职工人数较上年少量减少，2021年参保职工人数增长明显。</w:t>
      </w:r>
    </w:p>
    <w:p>
      <w:pPr>
        <w:jc w:val="center"/>
        <w:rPr>
          <w:rFonts w:ascii="仿宋_GB2312" w:eastAsia="仿宋_GB2312"/>
          <w:b/>
          <w:sz w:val="32"/>
          <w:szCs w:val="32"/>
        </w:rPr>
      </w:pPr>
      <w:r>
        <w:rPr>
          <w:rFonts w:hint="eastAsia" w:ascii="仿宋_GB2312" w:eastAsia="仿宋_GB2312"/>
          <w:b/>
          <w:sz w:val="32"/>
          <w:szCs w:val="32"/>
        </w:rPr>
        <w:drawing>
          <wp:inline distT="0" distB="0" distL="0" distR="0">
            <wp:extent cx="5133340" cy="3091180"/>
            <wp:effectExtent l="0" t="0" r="1016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133340" cy="3091180"/>
                    </a:xfrm>
                    <a:prstGeom prst="rect">
                      <a:avLst/>
                    </a:prstGeom>
                    <a:noFill/>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图1-18：2017年-2021年参保职工变化情况</w:t>
      </w:r>
    </w:p>
    <w:p>
      <w:pPr>
        <w:ind w:firstLine="643" w:firstLineChars="200"/>
        <w:rPr>
          <w:rFonts w:ascii="仿宋_GB2312" w:eastAsia="仿宋_GB2312"/>
          <w:b/>
          <w:sz w:val="32"/>
          <w:szCs w:val="32"/>
        </w:rPr>
      </w:pPr>
      <w:r>
        <w:rPr>
          <w:rFonts w:hint="eastAsia" w:ascii="仿宋_GB2312" w:eastAsia="仿宋_GB2312"/>
          <w:b/>
          <w:sz w:val="32"/>
          <w:szCs w:val="32"/>
        </w:rPr>
        <w:t>3.退（职）休人员情况</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截至2021年底，机关事业单位养老保险退（职）休人员达到11.25万人，比上年增加0.31万人，增长率为2.83%。2017年至2021年，待遇领取人员数量持续增加。</w:t>
      </w:r>
    </w:p>
    <w:p>
      <w:pPr>
        <w:rPr>
          <w:rFonts w:ascii="仿宋_GB2312" w:eastAsia="仿宋_GB2312"/>
          <w:sz w:val="32"/>
          <w:szCs w:val="32"/>
        </w:rPr>
      </w:pPr>
    </w:p>
    <w:p>
      <w:pPr>
        <w:jc w:val="center"/>
        <w:rPr>
          <w:rFonts w:ascii="仿宋_GB2312" w:eastAsia="仿宋_GB2312"/>
          <w:b/>
          <w:sz w:val="32"/>
          <w:szCs w:val="32"/>
        </w:rPr>
      </w:pPr>
      <w:r>
        <w:rPr>
          <w:rFonts w:hint="eastAsia" w:ascii="仿宋_GB2312" w:eastAsia="仿宋_GB2312"/>
          <w:b/>
          <w:sz w:val="32"/>
          <w:szCs w:val="32"/>
        </w:rPr>
        <w:drawing>
          <wp:inline distT="0" distB="0" distL="0" distR="0">
            <wp:extent cx="4993005" cy="3196590"/>
            <wp:effectExtent l="0" t="0" r="17145"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993005" cy="3196590"/>
                    </a:xfrm>
                    <a:prstGeom prst="rect">
                      <a:avLst/>
                    </a:prstGeom>
                    <a:noFill/>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图1-19：2017年-2021年退（职）休人员情况</w:t>
      </w:r>
    </w:p>
    <w:p>
      <w:pPr>
        <w:spacing w:line="560" w:lineRule="exact"/>
        <w:ind w:firstLine="643" w:firstLineChars="200"/>
        <w:rPr>
          <w:rFonts w:ascii="仿宋_GB2312" w:eastAsia="仿宋_GB2312"/>
          <w:sz w:val="32"/>
          <w:szCs w:val="32"/>
        </w:rPr>
      </w:pPr>
      <w:r>
        <w:rPr>
          <w:rFonts w:hint="eastAsia" w:ascii="楷体_GB2312" w:eastAsia="楷体_GB2312"/>
          <w:b/>
          <w:sz w:val="32"/>
          <w:szCs w:val="32"/>
        </w:rPr>
        <w:t>（二）基金收支情况。</w:t>
      </w:r>
      <w:r>
        <w:rPr>
          <w:rFonts w:hint="eastAsia" w:ascii="仿宋_GB2312" w:eastAsia="仿宋_GB2312"/>
          <w:sz w:val="32"/>
          <w:szCs w:val="32"/>
        </w:rPr>
        <w:t>2021年，机关事业单位基本养老保险基金收入78.45亿元，同比增长7.67%；支出79.81亿元，同比增长8.72%；基金结余24.14亿元,同比降低5.33%。</w:t>
      </w:r>
    </w:p>
    <w:p>
      <w:pPr>
        <w:spacing w:line="560" w:lineRule="exact"/>
        <w:ind w:firstLine="643" w:firstLineChars="200"/>
        <w:rPr>
          <w:rFonts w:ascii="仿宋_GB2312" w:eastAsia="仿宋_GB2312"/>
          <w:b/>
          <w:sz w:val="32"/>
          <w:szCs w:val="32"/>
        </w:rPr>
      </w:pPr>
      <w:r>
        <w:rPr>
          <w:rFonts w:hint="eastAsia" w:ascii="仿宋_GB2312" w:eastAsia="仿宋_GB2312"/>
          <w:b/>
          <w:sz w:val="32"/>
          <w:szCs w:val="32"/>
        </w:rPr>
        <w:t>1.基金收入情况</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（1）总体情况。</w:t>
      </w:r>
      <w:r>
        <w:rPr>
          <w:rFonts w:hint="eastAsia" w:ascii="仿宋_GB2312" w:eastAsia="仿宋_GB2312"/>
          <w:sz w:val="32"/>
          <w:szCs w:val="32"/>
        </w:rPr>
        <w:t>2021年，机关事业单位基本养老保险基金收入78.45亿元，同比增长7.67%，其中：基本养老保险费收入36.29亿元，同比增长0.17%，财政补贴收入40.70亿元，同比增长13.91%，利息收入0.42亿元，同比增长2.44%，转移收入1.02亿元，同比增长218.75%，其他收入0.02亿元，同比降低88.24%。</w:t>
      </w:r>
    </w:p>
    <w:p>
      <w:pPr>
        <w:spacing w:line="560" w:lineRule="exact"/>
        <w:ind w:firstLine="640" w:firstLineChars="200"/>
        <w:rPr>
          <w:rFonts w:ascii="仿宋_GB2312" w:eastAsia="仿宋_GB2312"/>
          <w:sz w:val="32"/>
          <w:szCs w:val="32"/>
        </w:rPr>
      </w:pPr>
    </w:p>
    <w:p>
      <w:pPr>
        <w:jc w:val="center"/>
        <w:rPr>
          <w:rFonts w:ascii="仿宋_GB2312" w:eastAsia="仿宋_GB2312"/>
        </w:rPr>
      </w:pPr>
      <w:r>
        <w:rPr>
          <w:rFonts w:hint="eastAsia" w:ascii="仿宋_GB2312" w:eastAsia="仿宋_GB2312"/>
        </w:rPr>
        <w:drawing>
          <wp:inline distT="0" distB="0" distL="0" distR="0">
            <wp:extent cx="5712460" cy="2658110"/>
            <wp:effectExtent l="0" t="0" r="2540" b="889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712460" cy="2658110"/>
                    </a:xfrm>
                    <a:prstGeom prst="rect">
                      <a:avLst/>
                    </a:prstGeom>
                    <a:noFill/>
                  </pic:spPr>
                </pic:pic>
              </a:graphicData>
            </a:graphic>
          </wp:inline>
        </w:drawing>
      </w:r>
    </w:p>
    <w:p>
      <w:pPr>
        <w:pStyle w:val="4"/>
        <w:jc w:val="center"/>
        <w:rPr>
          <w:rFonts w:ascii="仿宋_GB2312" w:hAnsi="Times New Roman" w:eastAsia="仿宋_GB2312"/>
          <w:sz w:val="28"/>
          <w:szCs w:val="28"/>
        </w:rPr>
      </w:pPr>
      <w:r>
        <w:rPr>
          <w:rFonts w:hint="eastAsia" w:ascii="仿宋_GB2312" w:hAnsi="Times New Roman" w:eastAsia="仿宋_GB2312"/>
          <w:sz w:val="28"/>
          <w:szCs w:val="28"/>
        </w:rPr>
        <w:t>图1-20：2021年机关事业基本养老保险基金收入构成</w:t>
      </w:r>
    </w:p>
    <w:p>
      <w:pPr>
        <w:pStyle w:val="4"/>
        <w:spacing w:line="560" w:lineRule="exact"/>
        <w:ind w:firstLine="643" w:firstLineChars="200"/>
        <w:rPr>
          <w:rFonts w:ascii="仿宋_GB2312" w:eastAsia="仿宋_GB2312"/>
          <w:sz w:val="32"/>
          <w:szCs w:val="32"/>
        </w:rPr>
      </w:pPr>
      <w:r>
        <w:rPr>
          <w:rFonts w:hint="eastAsia" w:ascii="仿宋_GB2312" w:eastAsia="仿宋_GB2312"/>
          <w:b/>
          <w:sz w:val="32"/>
          <w:szCs w:val="32"/>
        </w:rPr>
        <w:t>（2）财政补贴收入。</w:t>
      </w:r>
      <w:r>
        <w:rPr>
          <w:rFonts w:hint="eastAsia" w:ascii="仿宋_GB2312" w:eastAsia="仿宋_GB2312"/>
          <w:sz w:val="32"/>
          <w:szCs w:val="32"/>
        </w:rPr>
        <w:t>2017年至2021年，各级财政对机关事业单位养老保险基金补贴逐年增加，年均增长率达到30.74%。</w:t>
      </w:r>
    </w:p>
    <w:p>
      <w:pPr>
        <w:spacing w:line="360" w:lineRule="exact"/>
        <w:jc w:val="center"/>
        <w:rPr>
          <w:rFonts w:ascii="仿宋_GB2312" w:eastAsia="仿宋_GB2312"/>
          <w:sz w:val="28"/>
          <w:szCs w:val="28"/>
        </w:rPr>
      </w:pPr>
    </w:p>
    <w:p>
      <w:pPr>
        <w:spacing w:line="360" w:lineRule="exact"/>
        <w:jc w:val="center"/>
        <w:rPr>
          <w:rFonts w:ascii="仿宋_GB2312" w:eastAsia="仿宋_GB2312"/>
          <w:sz w:val="28"/>
          <w:szCs w:val="28"/>
        </w:rPr>
      </w:pPr>
      <w:r>
        <w:rPr>
          <w:rFonts w:hint="eastAsia" w:ascii="仿宋_GB2312" w:eastAsia="仿宋_GB2312"/>
          <w:sz w:val="28"/>
          <w:szCs w:val="28"/>
        </w:rPr>
        <w:t>表1-7:2017年-2021年财政补贴收入情况表</w:t>
      </w:r>
    </w:p>
    <w:p>
      <w:pPr>
        <w:spacing w:line="360" w:lineRule="exact"/>
        <w:jc w:val="right"/>
        <w:rPr>
          <w:rFonts w:ascii="仿宋_GB2312" w:eastAsia="仿宋_GB2312"/>
          <w:sz w:val="28"/>
          <w:szCs w:val="28"/>
        </w:rPr>
      </w:pPr>
      <w:r>
        <w:rPr>
          <w:rFonts w:hint="eastAsia" w:ascii="仿宋_GB2312" w:eastAsia="仿宋_GB2312"/>
          <w:sz w:val="28"/>
          <w:szCs w:val="28"/>
        </w:rPr>
        <w:t>单位：亿元</w:t>
      </w:r>
    </w:p>
    <w:tbl>
      <w:tblPr>
        <w:tblStyle w:val="23"/>
        <w:tblW w:w="899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1232"/>
        <w:gridCol w:w="1232"/>
        <w:gridCol w:w="1232"/>
        <w:gridCol w:w="1232"/>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jc w:val="center"/>
        </w:trPr>
        <w:tc>
          <w:tcPr>
            <w:tcW w:w="2835" w:type="dxa"/>
          </w:tcPr>
          <w:p>
            <w:pPr>
              <w:jc w:val="center"/>
              <w:rPr>
                <w:rFonts w:ascii="仿宋_GB2312" w:eastAsia="仿宋_GB2312"/>
                <w:sz w:val="28"/>
                <w:szCs w:val="28"/>
              </w:rPr>
            </w:pPr>
            <w:r>
              <w:rPr>
                <w:rFonts w:hint="eastAsia" w:ascii="仿宋_GB2312" w:eastAsia="仿宋_GB2312"/>
                <w:sz w:val="28"/>
                <w:szCs w:val="28"/>
              </w:rPr>
              <w:t>年份</w:t>
            </w:r>
          </w:p>
        </w:tc>
        <w:tc>
          <w:tcPr>
            <w:tcW w:w="1232" w:type="dxa"/>
          </w:tcPr>
          <w:p>
            <w:pPr>
              <w:jc w:val="center"/>
              <w:rPr>
                <w:rFonts w:ascii="仿宋_GB2312" w:eastAsia="仿宋_GB2312"/>
                <w:sz w:val="28"/>
                <w:szCs w:val="28"/>
              </w:rPr>
            </w:pPr>
            <w:r>
              <w:rPr>
                <w:rFonts w:hint="eastAsia" w:ascii="仿宋_GB2312" w:eastAsia="仿宋_GB2312"/>
                <w:sz w:val="28"/>
                <w:szCs w:val="28"/>
              </w:rPr>
              <w:t>2017</w:t>
            </w:r>
          </w:p>
        </w:tc>
        <w:tc>
          <w:tcPr>
            <w:tcW w:w="1232" w:type="dxa"/>
          </w:tcPr>
          <w:p>
            <w:pPr>
              <w:jc w:val="center"/>
              <w:rPr>
                <w:rFonts w:ascii="仿宋_GB2312" w:eastAsia="仿宋_GB2312"/>
                <w:sz w:val="28"/>
                <w:szCs w:val="28"/>
              </w:rPr>
            </w:pPr>
            <w:r>
              <w:rPr>
                <w:rFonts w:hint="eastAsia" w:ascii="仿宋_GB2312" w:eastAsia="仿宋_GB2312"/>
                <w:sz w:val="28"/>
                <w:szCs w:val="28"/>
              </w:rPr>
              <w:t>2018</w:t>
            </w:r>
          </w:p>
        </w:tc>
        <w:tc>
          <w:tcPr>
            <w:tcW w:w="1232" w:type="dxa"/>
          </w:tcPr>
          <w:p>
            <w:pPr>
              <w:jc w:val="center"/>
              <w:rPr>
                <w:rFonts w:ascii="仿宋_GB2312" w:eastAsia="仿宋_GB2312"/>
                <w:sz w:val="28"/>
                <w:szCs w:val="28"/>
              </w:rPr>
            </w:pPr>
            <w:r>
              <w:rPr>
                <w:rFonts w:hint="eastAsia" w:ascii="仿宋_GB2312" w:eastAsia="仿宋_GB2312"/>
                <w:sz w:val="28"/>
                <w:szCs w:val="28"/>
              </w:rPr>
              <w:t xml:space="preserve">2019    </w:t>
            </w:r>
          </w:p>
        </w:tc>
        <w:tc>
          <w:tcPr>
            <w:tcW w:w="1232" w:type="dxa"/>
          </w:tcPr>
          <w:p>
            <w:pPr>
              <w:jc w:val="center"/>
              <w:rPr>
                <w:rFonts w:ascii="仿宋_GB2312" w:eastAsia="仿宋_GB2312"/>
                <w:sz w:val="28"/>
                <w:szCs w:val="28"/>
              </w:rPr>
            </w:pPr>
            <w:r>
              <w:rPr>
                <w:rFonts w:hint="eastAsia" w:ascii="仿宋_GB2312" w:eastAsia="仿宋_GB2312"/>
                <w:sz w:val="28"/>
                <w:szCs w:val="28"/>
              </w:rPr>
              <w:t xml:space="preserve">2020    </w:t>
            </w:r>
          </w:p>
        </w:tc>
        <w:tc>
          <w:tcPr>
            <w:tcW w:w="1232" w:type="dxa"/>
          </w:tcPr>
          <w:p>
            <w:pPr>
              <w:jc w:val="center"/>
              <w:rPr>
                <w:rFonts w:ascii="仿宋_GB2312" w:eastAsia="仿宋_GB2312"/>
                <w:sz w:val="28"/>
                <w:szCs w:val="28"/>
              </w:rPr>
            </w:pPr>
            <w:r>
              <w:rPr>
                <w:rFonts w:hint="eastAsia" w:ascii="仿宋_GB2312" w:eastAsia="仿宋_GB2312"/>
                <w:sz w:val="28"/>
                <w:szCs w:val="28"/>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jc w:val="center"/>
        </w:trPr>
        <w:tc>
          <w:tcPr>
            <w:tcW w:w="2835" w:type="dxa"/>
          </w:tcPr>
          <w:p>
            <w:pPr>
              <w:jc w:val="center"/>
              <w:rPr>
                <w:rFonts w:ascii="仿宋_GB2312" w:eastAsia="仿宋_GB2312"/>
                <w:sz w:val="28"/>
                <w:szCs w:val="28"/>
              </w:rPr>
            </w:pPr>
            <w:r>
              <w:rPr>
                <w:rFonts w:hint="eastAsia" w:ascii="仿宋_GB2312" w:eastAsia="仿宋_GB2312"/>
                <w:sz w:val="28"/>
                <w:szCs w:val="28"/>
              </w:rPr>
              <w:t>财政补贴收入</w:t>
            </w:r>
          </w:p>
        </w:tc>
        <w:tc>
          <w:tcPr>
            <w:tcW w:w="1232" w:type="dxa"/>
            <w:vAlign w:val="center"/>
          </w:tcPr>
          <w:p>
            <w:pPr>
              <w:suppressLineNumbers/>
              <w:spacing w:line="0" w:lineRule="atLeast"/>
              <w:jc w:val="center"/>
              <w:rPr>
                <w:rFonts w:ascii="仿宋_GB2312" w:eastAsia="仿宋_GB2312"/>
                <w:sz w:val="28"/>
                <w:szCs w:val="28"/>
              </w:rPr>
            </w:pPr>
            <w:r>
              <w:rPr>
                <w:rFonts w:hint="eastAsia" w:ascii="仿宋_GB2312" w:eastAsia="仿宋_GB2312"/>
                <w:sz w:val="28"/>
                <w:szCs w:val="28"/>
              </w:rPr>
              <w:t>13.93</w:t>
            </w:r>
          </w:p>
        </w:tc>
        <w:tc>
          <w:tcPr>
            <w:tcW w:w="1232" w:type="dxa"/>
            <w:vAlign w:val="center"/>
          </w:tcPr>
          <w:p>
            <w:pPr>
              <w:suppressLineNumbers/>
              <w:spacing w:line="0" w:lineRule="atLeast"/>
              <w:jc w:val="center"/>
              <w:rPr>
                <w:rFonts w:ascii="仿宋_GB2312" w:eastAsia="仿宋_GB2312"/>
                <w:position w:val="6"/>
                <w:sz w:val="28"/>
                <w:szCs w:val="28"/>
              </w:rPr>
            </w:pPr>
            <w:r>
              <w:rPr>
                <w:rFonts w:hint="eastAsia" w:ascii="仿宋_GB2312" w:eastAsia="仿宋_GB2312"/>
                <w:position w:val="6"/>
                <w:sz w:val="28"/>
                <w:szCs w:val="28"/>
              </w:rPr>
              <w:t>17.34</w:t>
            </w:r>
          </w:p>
        </w:tc>
        <w:tc>
          <w:tcPr>
            <w:tcW w:w="1232" w:type="dxa"/>
            <w:vAlign w:val="center"/>
          </w:tcPr>
          <w:p>
            <w:pPr>
              <w:suppressLineNumbers/>
              <w:spacing w:line="0" w:lineRule="atLeast"/>
              <w:jc w:val="center"/>
              <w:rPr>
                <w:rFonts w:ascii="仿宋_GB2312" w:eastAsia="仿宋_GB2312"/>
                <w:sz w:val="28"/>
                <w:szCs w:val="28"/>
              </w:rPr>
            </w:pPr>
            <w:r>
              <w:rPr>
                <w:rFonts w:hint="eastAsia" w:ascii="仿宋_GB2312" w:eastAsia="仿宋_GB2312"/>
                <w:sz w:val="28"/>
                <w:szCs w:val="28"/>
              </w:rPr>
              <w:t>23.36</w:t>
            </w:r>
          </w:p>
        </w:tc>
        <w:tc>
          <w:tcPr>
            <w:tcW w:w="1232" w:type="dxa"/>
            <w:vAlign w:val="center"/>
          </w:tcPr>
          <w:p>
            <w:pPr>
              <w:suppressLineNumbers/>
              <w:spacing w:line="0" w:lineRule="atLeast"/>
              <w:jc w:val="center"/>
              <w:rPr>
                <w:rFonts w:ascii="仿宋_GB2312" w:eastAsia="仿宋_GB2312"/>
                <w:sz w:val="28"/>
                <w:szCs w:val="28"/>
              </w:rPr>
            </w:pPr>
            <w:r>
              <w:rPr>
                <w:rFonts w:hint="eastAsia" w:ascii="仿宋_GB2312" w:eastAsia="仿宋_GB2312"/>
                <w:sz w:val="28"/>
                <w:szCs w:val="28"/>
              </w:rPr>
              <w:t>35.73</w:t>
            </w:r>
          </w:p>
        </w:tc>
        <w:tc>
          <w:tcPr>
            <w:tcW w:w="1232" w:type="dxa"/>
            <w:vAlign w:val="center"/>
          </w:tcPr>
          <w:p>
            <w:pPr>
              <w:suppressLineNumbers/>
              <w:spacing w:line="0" w:lineRule="atLeast"/>
              <w:jc w:val="center"/>
              <w:rPr>
                <w:rFonts w:ascii="仿宋_GB2312" w:eastAsia="仿宋_GB2312"/>
                <w:sz w:val="28"/>
                <w:szCs w:val="28"/>
              </w:rPr>
            </w:pPr>
            <w:r>
              <w:rPr>
                <w:rFonts w:hint="eastAsia" w:ascii="仿宋_GB2312" w:eastAsia="仿宋_GB2312"/>
                <w:sz w:val="28"/>
                <w:szCs w:val="28"/>
              </w:rPr>
              <w:t>40.70</w:t>
            </w:r>
          </w:p>
        </w:tc>
      </w:tr>
    </w:tbl>
    <w:p>
      <w:pPr>
        <w:spacing w:line="600" w:lineRule="exact"/>
        <w:ind w:firstLine="643" w:firstLineChars="200"/>
        <w:rPr>
          <w:rFonts w:ascii="仿宋_GB2312" w:eastAsia="仿宋_GB2312"/>
          <w:sz w:val="32"/>
          <w:szCs w:val="32"/>
        </w:rPr>
      </w:pPr>
      <w:r>
        <w:rPr>
          <w:rFonts w:hint="eastAsia" w:ascii="仿宋_GB2312" w:eastAsia="仿宋_GB2312"/>
          <w:b/>
          <w:sz w:val="32"/>
          <w:szCs w:val="32"/>
        </w:rPr>
        <w:t>2.基金支出情况。</w:t>
      </w:r>
      <w:r>
        <w:rPr>
          <w:rFonts w:hint="eastAsia" w:ascii="仿宋_GB2312" w:eastAsia="仿宋_GB2312"/>
          <w:sz w:val="32"/>
          <w:szCs w:val="32"/>
        </w:rPr>
        <w:t>2021年，机关事业单位养老保险基金支出79.81亿元。其中：基本养老金支出79.72亿元，同比增长9.76%，转移支出0.09亿元，同比增长200%。2017年至2021年机关事业单位养老保险基金收支逐年增加，且2018年较2017年增长明显，2021年基金收入较2020年增加5.59亿元，增长7.67%。</w:t>
      </w:r>
    </w:p>
    <w:p>
      <w:pPr>
        <w:spacing w:line="560" w:lineRule="exact"/>
        <w:ind w:firstLine="640" w:firstLineChars="200"/>
        <w:rPr>
          <w:rFonts w:ascii="仿宋_GB2312" w:eastAsia="仿宋_GB2312"/>
          <w:sz w:val="32"/>
          <w:szCs w:val="32"/>
        </w:rPr>
      </w:pPr>
    </w:p>
    <w:p>
      <w:pPr>
        <w:spacing w:line="600" w:lineRule="exact"/>
        <w:rPr>
          <w:rFonts w:ascii="仿宋_GB2312" w:eastAsia="仿宋_GB2312"/>
          <w:sz w:val="32"/>
          <w:szCs w:val="32"/>
        </w:rPr>
      </w:pPr>
    </w:p>
    <w:p>
      <w:pPr>
        <w:rPr>
          <w:rFonts w:ascii="仿宋_GB2312" w:eastAsia="仿宋_GB2312"/>
          <w:sz w:val="32"/>
          <w:szCs w:val="32"/>
        </w:rPr>
      </w:pPr>
      <w:r>
        <w:rPr>
          <w:rFonts w:hint="eastAsia" w:ascii="仿宋_GB2312" w:eastAsia="仿宋_GB2312"/>
          <w:sz w:val="32"/>
          <w:szCs w:val="32"/>
        </w:rPr>
        <w:drawing>
          <wp:inline distT="0" distB="0" distL="0" distR="0">
            <wp:extent cx="5688330" cy="2633980"/>
            <wp:effectExtent l="19050" t="19050" r="26670" b="1397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688330" cy="2633980"/>
                    </a:xfrm>
                    <a:prstGeom prst="rect">
                      <a:avLst/>
                    </a:prstGeom>
                    <a:noFill/>
                    <a:ln w="9525">
                      <a:solidFill>
                        <a:schemeClr val="tx1"/>
                      </a:solidFill>
                    </a:ln>
                  </pic:spPr>
                </pic:pic>
              </a:graphicData>
            </a:graphic>
          </wp:inline>
        </w:drawing>
      </w:r>
    </w:p>
    <w:p>
      <w:pPr>
        <w:jc w:val="center"/>
        <w:rPr>
          <w:rFonts w:ascii="仿宋_GB2312" w:eastAsia="仿宋_GB2312"/>
          <w:spacing w:val="-10"/>
          <w:sz w:val="28"/>
          <w:szCs w:val="28"/>
        </w:rPr>
      </w:pPr>
      <w:r>
        <w:rPr>
          <w:rFonts w:hint="eastAsia" w:ascii="仿宋_GB2312" w:eastAsia="仿宋_GB2312"/>
          <w:spacing w:val="-10"/>
          <w:sz w:val="28"/>
          <w:szCs w:val="28"/>
        </w:rPr>
        <w:t>图1-21：2017年-2021年机关事业单位基本养老保险基金收支累计结余情况</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3.基金结余情况。</w:t>
      </w:r>
      <w:r>
        <w:rPr>
          <w:rFonts w:hint="eastAsia" w:ascii="仿宋_GB2312" w:eastAsia="仿宋_GB2312"/>
          <w:sz w:val="32"/>
          <w:szCs w:val="32"/>
        </w:rPr>
        <w:t>2021年末，机关事业单位养老保险基金结余24.14亿元，同期降低5.33%。累计结余基金可支付能力3.6个月。机关事业单位基金结余资金均为各级财政补助资金。</w:t>
      </w:r>
    </w:p>
    <w:p>
      <w:pPr>
        <w:spacing w:line="560" w:lineRule="exact"/>
        <w:ind w:firstLine="643" w:firstLineChars="200"/>
        <w:rPr>
          <w:rFonts w:ascii="仿宋_GB2312" w:eastAsia="仿宋_GB2312"/>
          <w:sz w:val="32"/>
          <w:szCs w:val="32"/>
        </w:rPr>
      </w:pPr>
      <w:r>
        <w:rPr>
          <w:rFonts w:hint="eastAsia" w:ascii="楷体_GB2312" w:eastAsia="楷体_GB2312"/>
          <w:b/>
          <w:sz w:val="32"/>
          <w:szCs w:val="32"/>
        </w:rPr>
        <w:t>（三）职业年金。</w:t>
      </w:r>
      <w:r>
        <w:rPr>
          <w:rFonts w:hint="eastAsia" w:ascii="仿宋_GB2312" w:eastAsia="仿宋_GB2312"/>
          <w:sz w:val="32"/>
          <w:szCs w:val="32"/>
        </w:rPr>
        <w:t>2021年，我区职业年金参保单位达到4852家，较上年增加364家，增长率8.11%。参保人数达到24.67万人（其中在职20.91万人，退休3.76万人），较上年增加0.86万人，增长率3.61%。待遇领取人数3.25万人，人均领取职业年金待遇206元/月。全区共设立8个职业年金计划，实行统一收益率。</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基金收支结余情况：截至2021年底，我区职业年金收入38.22亿元，同比增长172.42%。其中，缴费收入26.95亿元，同比增长112.88%；转移收入1.81亿元，同比增长503.33%；利息收入1.44亿元，同比降低121.54%。支出2.24亿元，同比增长42.68%；待遇支出2.18亿元，同比增长47.30%；转移支出0.05，同比降低37.50%；其他支出0.01亿元，与去年同期持平。基金累计结余91.83亿元。</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三、城乡居民基本养老保险</w:t>
      </w:r>
    </w:p>
    <w:p>
      <w:pPr>
        <w:spacing w:line="560" w:lineRule="exact"/>
        <w:ind w:firstLine="643" w:firstLineChars="200"/>
        <w:rPr>
          <w:rFonts w:ascii="仿宋_GB2312" w:eastAsia="仿宋_GB2312"/>
          <w:sz w:val="32"/>
          <w:szCs w:val="32"/>
        </w:rPr>
      </w:pPr>
      <w:r>
        <w:rPr>
          <w:rFonts w:hint="eastAsia" w:ascii="楷体_GB2312" w:eastAsia="楷体_GB2312"/>
          <w:b/>
          <w:sz w:val="32"/>
          <w:szCs w:val="32"/>
        </w:rPr>
        <w:t>（一）参保情况。</w:t>
      </w:r>
      <w:r>
        <w:rPr>
          <w:rFonts w:hint="eastAsia" w:ascii="仿宋_GB2312" w:eastAsia="仿宋_GB2312"/>
          <w:b w:val="0"/>
          <w:sz w:val="32"/>
          <w:szCs w:val="32"/>
        </w:rPr>
        <w:t>截至</w:t>
      </w:r>
      <w:r>
        <w:rPr>
          <w:rFonts w:hint="eastAsia" w:ascii="仿宋_GB2312" w:eastAsia="仿宋_GB2312"/>
          <w:sz w:val="32"/>
          <w:szCs w:val="32"/>
        </w:rPr>
        <w:t xml:space="preserve"> 2021年底，城乡居民参保人数由制度启动之初的24.7万人增加到230.74万人，60周岁以上领取基础养老金人数由4.7万人增加到46.51万人,基本实现了应保尽保。</w:t>
      </w:r>
    </w:p>
    <w:p>
      <w:pPr>
        <w:rPr>
          <w:rFonts w:ascii="仿宋_GB2312" w:eastAsia="仿宋_GB2312"/>
          <w:sz w:val="32"/>
          <w:szCs w:val="32"/>
        </w:rPr>
      </w:pPr>
      <w:r>
        <w:rPr>
          <w:rFonts w:hint="eastAsia" w:ascii="仿宋_GB2312" w:eastAsia="仿宋_GB2312"/>
          <w:sz w:val="32"/>
          <w:szCs w:val="32"/>
        </w:rPr>
        <w:drawing>
          <wp:inline distT="0" distB="0" distL="0" distR="0">
            <wp:extent cx="5752465" cy="2733040"/>
            <wp:effectExtent l="19050" t="19050" r="19685" b="1016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752465" cy="2733040"/>
                    </a:xfrm>
                    <a:prstGeom prst="rect">
                      <a:avLst/>
                    </a:prstGeom>
                    <a:noFill/>
                    <a:ln w="9525">
                      <a:solidFill>
                        <a:schemeClr val="tx1"/>
                      </a:solidFill>
                    </a:ln>
                  </pic:spPr>
                </pic:pic>
              </a:graphicData>
            </a:graphic>
          </wp:inline>
        </w:drawing>
      </w:r>
    </w:p>
    <w:p>
      <w:pPr>
        <w:pStyle w:val="4"/>
        <w:spacing w:line="560" w:lineRule="exact"/>
        <w:jc w:val="center"/>
        <w:rPr>
          <w:rFonts w:ascii="仿宋_GB2312" w:hAnsi="Times New Roman" w:eastAsia="仿宋_GB2312"/>
          <w:sz w:val="30"/>
          <w:szCs w:val="30"/>
        </w:rPr>
      </w:pPr>
      <w:r>
        <w:rPr>
          <w:rFonts w:hint="eastAsia" w:ascii="仿宋_GB2312" w:hAnsi="Times New Roman" w:eastAsia="仿宋_GB2312"/>
          <w:sz w:val="28"/>
          <w:szCs w:val="28"/>
        </w:rPr>
        <w:t>图1-22：2017年-2021年城乡居民养老保险参保人数情况</w:t>
      </w:r>
    </w:p>
    <w:p>
      <w:pPr>
        <w:pStyle w:val="4"/>
        <w:spacing w:line="560" w:lineRule="exact"/>
        <w:jc w:val="center"/>
        <w:rPr>
          <w:rFonts w:ascii="仿宋_GB2312" w:hAnsi="Times New Roman" w:eastAsia="仿宋_GB2312"/>
          <w:sz w:val="28"/>
          <w:szCs w:val="28"/>
        </w:rPr>
      </w:pPr>
      <w:r>
        <w:rPr>
          <w:rFonts w:hint="eastAsia" w:ascii="仿宋_GB2312" w:hAnsi="Times New Roman" w:eastAsia="仿宋_GB2312"/>
          <w:sz w:val="28"/>
          <w:szCs w:val="28"/>
        </w:rPr>
        <w:t>表1-8：2021年分市县城乡居民基本养老保险参保人数情况表</w:t>
      </w:r>
    </w:p>
    <w:tbl>
      <w:tblPr>
        <w:tblStyle w:val="23"/>
        <w:tblW w:w="8926" w:type="dxa"/>
        <w:jc w:val="center"/>
        <w:tblInd w:w="0" w:type="dxa"/>
        <w:tblLayout w:type="fixed"/>
        <w:tblCellMar>
          <w:top w:w="0" w:type="dxa"/>
          <w:left w:w="108" w:type="dxa"/>
          <w:bottom w:w="0" w:type="dxa"/>
          <w:right w:w="108" w:type="dxa"/>
        </w:tblCellMar>
      </w:tblPr>
      <w:tblGrid>
        <w:gridCol w:w="1900"/>
        <w:gridCol w:w="2337"/>
        <w:gridCol w:w="1693"/>
        <w:gridCol w:w="2996"/>
      </w:tblGrid>
      <w:tr>
        <w:tblPrEx>
          <w:tblLayout w:type="fixed"/>
          <w:tblCellMar>
            <w:top w:w="0" w:type="dxa"/>
            <w:left w:w="108" w:type="dxa"/>
            <w:bottom w:w="0" w:type="dxa"/>
            <w:right w:w="108" w:type="dxa"/>
          </w:tblCellMar>
        </w:tblPrEx>
        <w:trPr>
          <w:trHeight w:val="371" w:hRule="exact"/>
          <w:jc w:val="center"/>
        </w:trPr>
        <w:tc>
          <w:tcPr>
            <w:tcW w:w="190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eastAsia="仿宋_GB2312"/>
                <w:bCs/>
                <w:color w:val="000000"/>
                <w:kern w:val="0"/>
                <w:sz w:val="22"/>
                <w:szCs w:val="24"/>
              </w:rPr>
            </w:pPr>
            <w:r>
              <w:rPr>
                <w:rFonts w:hint="eastAsia" w:ascii="仿宋_GB2312" w:eastAsia="仿宋_GB2312"/>
                <w:bCs/>
                <w:color w:val="000000"/>
                <w:kern w:val="0"/>
                <w:sz w:val="22"/>
                <w:szCs w:val="24"/>
              </w:rPr>
              <w:t>市县</w:t>
            </w:r>
          </w:p>
        </w:tc>
        <w:tc>
          <w:tcPr>
            <w:tcW w:w="2337" w:type="dxa"/>
            <w:tcBorders>
              <w:top w:val="single" w:color="auto" w:sz="4" w:space="0"/>
              <w:left w:val="nil"/>
              <w:bottom w:val="single" w:color="auto" w:sz="4" w:space="0"/>
              <w:right w:val="single" w:color="auto" w:sz="4" w:space="0"/>
            </w:tcBorders>
            <w:vAlign w:val="center"/>
          </w:tcPr>
          <w:p>
            <w:pPr>
              <w:widowControl/>
              <w:jc w:val="center"/>
              <w:rPr>
                <w:rFonts w:ascii="仿宋_GB2312" w:eastAsia="仿宋_GB2312"/>
                <w:bCs/>
                <w:color w:val="000000"/>
                <w:kern w:val="0"/>
                <w:sz w:val="22"/>
                <w:szCs w:val="24"/>
              </w:rPr>
            </w:pPr>
            <w:r>
              <w:rPr>
                <w:rFonts w:hint="eastAsia" w:ascii="仿宋_GB2312" w:eastAsia="仿宋_GB2312"/>
                <w:bCs/>
                <w:color w:val="000000"/>
                <w:kern w:val="0"/>
                <w:sz w:val="22"/>
                <w:szCs w:val="24"/>
              </w:rPr>
              <w:t>参保人数（万人）</w:t>
            </w:r>
          </w:p>
        </w:tc>
        <w:tc>
          <w:tcPr>
            <w:tcW w:w="1693" w:type="dxa"/>
            <w:tcBorders>
              <w:top w:val="single" w:color="auto" w:sz="4" w:space="0"/>
              <w:left w:val="nil"/>
              <w:bottom w:val="single" w:color="auto" w:sz="4" w:space="0"/>
              <w:right w:val="single" w:color="auto" w:sz="4" w:space="0"/>
            </w:tcBorders>
            <w:vAlign w:val="center"/>
          </w:tcPr>
          <w:p>
            <w:pPr>
              <w:widowControl/>
              <w:jc w:val="center"/>
              <w:rPr>
                <w:rFonts w:ascii="仿宋_GB2312" w:eastAsia="仿宋_GB2312"/>
                <w:bCs/>
                <w:color w:val="000000"/>
                <w:kern w:val="0"/>
                <w:sz w:val="22"/>
                <w:szCs w:val="24"/>
              </w:rPr>
            </w:pPr>
            <w:r>
              <w:rPr>
                <w:rFonts w:hint="eastAsia" w:ascii="仿宋_GB2312" w:eastAsia="仿宋_GB2312"/>
                <w:bCs/>
                <w:color w:val="000000"/>
                <w:kern w:val="0"/>
                <w:sz w:val="22"/>
                <w:szCs w:val="24"/>
              </w:rPr>
              <w:t>市县</w:t>
            </w:r>
          </w:p>
        </w:tc>
        <w:tc>
          <w:tcPr>
            <w:tcW w:w="2996" w:type="dxa"/>
            <w:tcBorders>
              <w:top w:val="single" w:color="auto" w:sz="4" w:space="0"/>
              <w:left w:val="nil"/>
              <w:bottom w:val="single" w:color="auto" w:sz="4" w:space="0"/>
              <w:right w:val="single" w:color="auto" w:sz="4" w:space="0"/>
            </w:tcBorders>
            <w:vAlign w:val="center"/>
          </w:tcPr>
          <w:p>
            <w:pPr>
              <w:widowControl/>
              <w:jc w:val="center"/>
              <w:rPr>
                <w:rFonts w:ascii="仿宋_GB2312" w:eastAsia="仿宋_GB2312"/>
                <w:bCs/>
                <w:color w:val="000000"/>
                <w:kern w:val="0"/>
                <w:sz w:val="22"/>
                <w:szCs w:val="24"/>
              </w:rPr>
            </w:pPr>
            <w:r>
              <w:rPr>
                <w:rFonts w:hint="eastAsia" w:ascii="仿宋_GB2312" w:eastAsia="仿宋_GB2312"/>
                <w:bCs/>
                <w:color w:val="000000"/>
                <w:kern w:val="0"/>
                <w:sz w:val="22"/>
                <w:szCs w:val="24"/>
              </w:rPr>
              <w:t>参保人数（万人）</w:t>
            </w:r>
          </w:p>
        </w:tc>
      </w:tr>
      <w:tr>
        <w:tblPrEx>
          <w:tblLayout w:type="fixed"/>
          <w:tblCellMar>
            <w:top w:w="0" w:type="dxa"/>
            <w:left w:w="108" w:type="dxa"/>
            <w:bottom w:w="0" w:type="dxa"/>
            <w:right w:w="108" w:type="dxa"/>
          </w:tblCellMar>
        </w:tblPrEx>
        <w:trPr>
          <w:trHeight w:val="397" w:hRule="exact"/>
          <w:jc w:val="center"/>
        </w:trPr>
        <w:tc>
          <w:tcPr>
            <w:tcW w:w="1900" w:type="dxa"/>
            <w:tcBorders>
              <w:top w:val="nil"/>
              <w:left w:val="single" w:color="auto" w:sz="4" w:space="0"/>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银川市</w:t>
            </w:r>
          </w:p>
        </w:tc>
        <w:tc>
          <w:tcPr>
            <w:tcW w:w="2337" w:type="dxa"/>
            <w:tcBorders>
              <w:top w:val="nil"/>
              <w:left w:val="nil"/>
              <w:bottom w:val="single" w:color="auto" w:sz="4" w:space="0"/>
              <w:right w:val="single" w:color="auto" w:sz="4" w:space="0"/>
            </w:tcBorders>
            <w:vAlign w:val="center"/>
          </w:tcPr>
          <w:p>
            <w:pPr>
              <w:jc w:val="center"/>
              <w:rPr>
                <w:rFonts w:ascii="仿宋_GB2312" w:eastAsia="仿宋_GB2312"/>
                <w:sz w:val="20"/>
                <w:szCs w:val="20"/>
              </w:rPr>
            </w:pPr>
            <w:r>
              <w:rPr>
                <w:rFonts w:hint="eastAsia" w:ascii="仿宋_GB2312" w:eastAsia="仿宋_GB2312"/>
                <w:sz w:val="20"/>
                <w:szCs w:val="20"/>
              </w:rPr>
              <w:t>7.90</w:t>
            </w:r>
          </w:p>
        </w:tc>
        <w:tc>
          <w:tcPr>
            <w:tcW w:w="1693" w:type="dxa"/>
            <w:tcBorders>
              <w:top w:val="nil"/>
              <w:left w:val="nil"/>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rPr>
              <w:t>同心县</w:t>
            </w:r>
          </w:p>
        </w:tc>
        <w:tc>
          <w:tcPr>
            <w:tcW w:w="2996" w:type="dxa"/>
            <w:tcBorders>
              <w:top w:val="nil"/>
              <w:left w:val="nil"/>
              <w:bottom w:val="single" w:color="auto" w:sz="4" w:space="0"/>
              <w:right w:val="single" w:color="auto" w:sz="4" w:space="0"/>
            </w:tcBorders>
            <w:vAlign w:val="center"/>
          </w:tcPr>
          <w:p>
            <w:pPr>
              <w:jc w:val="center"/>
              <w:rPr>
                <w:rFonts w:ascii="仿宋_GB2312" w:eastAsia="仿宋_GB2312"/>
                <w:sz w:val="20"/>
                <w:szCs w:val="20"/>
              </w:rPr>
            </w:pPr>
            <w:r>
              <w:rPr>
                <w:rFonts w:hint="eastAsia" w:ascii="仿宋_GB2312" w:eastAsia="仿宋_GB2312"/>
                <w:sz w:val="20"/>
                <w:szCs w:val="20"/>
              </w:rPr>
              <w:t>18.70</w:t>
            </w:r>
          </w:p>
        </w:tc>
      </w:tr>
      <w:tr>
        <w:tblPrEx>
          <w:tblLayout w:type="fixed"/>
          <w:tblCellMar>
            <w:top w:w="0" w:type="dxa"/>
            <w:left w:w="108" w:type="dxa"/>
            <w:bottom w:w="0" w:type="dxa"/>
            <w:right w:w="108" w:type="dxa"/>
          </w:tblCellMar>
        </w:tblPrEx>
        <w:trPr>
          <w:trHeight w:val="397" w:hRule="exact"/>
          <w:jc w:val="center"/>
        </w:trPr>
        <w:tc>
          <w:tcPr>
            <w:tcW w:w="1900" w:type="dxa"/>
            <w:tcBorders>
              <w:top w:val="nil"/>
              <w:left w:val="single" w:color="auto" w:sz="4" w:space="0"/>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灵武市</w:t>
            </w:r>
          </w:p>
        </w:tc>
        <w:tc>
          <w:tcPr>
            <w:tcW w:w="2337" w:type="dxa"/>
            <w:tcBorders>
              <w:top w:val="nil"/>
              <w:left w:val="nil"/>
              <w:bottom w:val="single" w:color="auto" w:sz="4" w:space="0"/>
              <w:right w:val="single" w:color="auto" w:sz="4" w:space="0"/>
            </w:tcBorders>
            <w:vAlign w:val="center"/>
          </w:tcPr>
          <w:p>
            <w:pPr>
              <w:jc w:val="center"/>
              <w:rPr>
                <w:rFonts w:ascii="仿宋_GB2312" w:eastAsia="仿宋_GB2312"/>
                <w:sz w:val="20"/>
                <w:szCs w:val="20"/>
              </w:rPr>
            </w:pPr>
            <w:r>
              <w:rPr>
                <w:rFonts w:hint="eastAsia" w:ascii="仿宋_GB2312" w:eastAsia="仿宋_GB2312"/>
                <w:sz w:val="20"/>
                <w:szCs w:val="20"/>
              </w:rPr>
              <w:t>7.75</w:t>
            </w:r>
          </w:p>
        </w:tc>
        <w:tc>
          <w:tcPr>
            <w:tcW w:w="1693"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红寺堡</w:t>
            </w:r>
          </w:p>
        </w:tc>
        <w:tc>
          <w:tcPr>
            <w:tcW w:w="2996" w:type="dxa"/>
            <w:tcBorders>
              <w:top w:val="nil"/>
              <w:left w:val="nil"/>
              <w:bottom w:val="single" w:color="auto" w:sz="4" w:space="0"/>
              <w:right w:val="single" w:color="auto" w:sz="4" w:space="0"/>
            </w:tcBorders>
            <w:vAlign w:val="center"/>
          </w:tcPr>
          <w:p>
            <w:pPr>
              <w:jc w:val="center"/>
              <w:rPr>
                <w:rFonts w:ascii="仿宋_GB2312" w:eastAsia="仿宋_GB2312"/>
                <w:sz w:val="20"/>
                <w:szCs w:val="20"/>
              </w:rPr>
            </w:pPr>
            <w:r>
              <w:rPr>
                <w:rFonts w:hint="eastAsia" w:ascii="仿宋_GB2312" w:eastAsia="仿宋_GB2312"/>
                <w:sz w:val="20"/>
                <w:szCs w:val="20"/>
              </w:rPr>
              <w:t>10.43</w:t>
            </w:r>
          </w:p>
        </w:tc>
      </w:tr>
      <w:tr>
        <w:tblPrEx>
          <w:tblLayout w:type="fixed"/>
          <w:tblCellMar>
            <w:top w:w="0" w:type="dxa"/>
            <w:left w:w="108" w:type="dxa"/>
            <w:bottom w:w="0" w:type="dxa"/>
            <w:right w:w="108" w:type="dxa"/>
          </w:tblCellMar>
        </w:tblPrEx>
        <w:trPr>
          <w:trHeight w:val="397" w:hRule="exact"/>
          <w:jc w:val="center"/>
        </w:trPr>
        <w:tc>
          <w:tcPr>
            <w:tcW w:w="1900" w:type="dxa"/>
            <w:tcBorders>
              <w:top w:val="nil"/>
              <w:left w:val="single" w:color="auto" w:sz="4" w:space="0"/>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永宁县</w:t>
            </w:r>
          </w:p>
        </w:tc>
        <w:tc>
          <w:tcPr>
            <w:tcW w:w="2337" w:type="dxa"/>
            <w:tcBorders>
              <w:top w:val="nil"/>
              <w:left w:val="nil"/>
              <w:bottom w:val="single" w:color="auto" w:sz="4" w:space="0"/>
              <w:right w:val="single" w:color="auto" w:sz="4" w:space="0"/>
            </w:tcBorders>
            <w:vAlign w:val="center"/>
          </w:tcPr>
          <w:p>
            <w:pPr>
              <w:jc w:val="center"/>
              <w:rPr>
                <w:rFonts w:ascii="仿宋_GB2312" w:eastAsia="仿宋_GB2312"/>
                <w:sz w:val="20"/>
                <w:szCs w:val="20"/>
              </w:rPr>
            </w:pPr>
            <w:r>
              <w:rPr>
                <w:rFonts w:hint="eastAsia" w:ascii="仿宋_GB2312" w:eastAsia="仿宋_GB2312"/>
                <w:sz w:val="20"/>
                <w:szCs w:val="20"/>
              </w:rPr>
              <w:t>9.18</w:t>
            </w:r>
          </w:p>
        </w:tc>
        <w:tc>
          <w:tcPr>
            <w:tcW w:w="1693"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固原市</w:t>
            </w:r>
          </w:p>
        </w:tc>
        <w:tc>
          <w:tcPr>
            <w:tcW w:w="2996" w:type="dxa"/>
            <w:tcBorders>
              <w:top w:val="nil"/>
              <w:left w:val="nil"/>
              <w:bottom w:val="single" w:color="auto" w:sz="4" w:space="0"/>
              <w:right w:val="single" w:color="auto" w:sz="4" w:space="0"/>
            </w:tcBorders>
            <w:vAlign w:val="center"/>
          </w:tcPr>
          <w:p>
            <w:pPr>
              <w:jc w:val="center"/>
              <w:rPr>
                <w:rFonts w:ascii="仿宋_GB2312" w:eastAsia="仿宋_GB2312"/>
                <w:sz w:val="20"/>
                <w:szCs w:val="20"/>
              </w:rPr>
            </w:pPr>
            <w:r>
              <w:rPr>
                <w:rFonts w:hint="eastAsia" w:ascii="仿宋_GB2312" w:eastAsia="仿宋_GB2312"/>
                <w:sz w:val="20"/>
                <w:szCs w:val="20"/>
              </w:rPr>
              <w:t>18.95</w:t>
            </w:r>
          </w:p>
        </w:tc>
      </w:tr>
      <w:tr>
        <w:tblPrEx>
          <w:tblLayout w:type="fixed"/>
          <w:tblCellMar>
            <w:top w:w="0" w:type="dxa"/>
            <w:left w:w="108" w:type="dxa"/>
            <w:bottom w:w="0" w:type="dxa"/>
            <w:right w:w="108" w:type="dxa"/>
          </w:tblCellMar>
        </w:tblPrEx>
        <w:trPr>
          <w:trHeight w:val="397" w:hRule="exact"/>
          <w:jc w:val="center"/>
        </w:trPr>
        <w:tc>
          <w:tcPr>
            <w:tcW w:w="1900" w:type="dxa"/>
            <w:tcBorders>
              <w:top w:val="nil"/>
              <w:left w:val="single" w:color="auto" w:sz="4" w:space="0"/>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贺兰县</w:t>
            </w:r>
          </w:p>
        </w:tc>
        <w:tc>
          <w:tcPr>
            <w:tcW w:w="2337" w:type="dxa"/>
            <w:tcBorders>
              <w:top w:val="nil"/>
              <w:left w:val="nil"/>
              <w:bottom w:val="single" w:color="auto" w:sz="4" w:space="0"/>
              <w:right w:val="single" w:color="auto" w:sz="4" w:space="0"/>
            </w:tcBorders>
            <w:vAlign w:val="center"/>
          </w:tcPr>
          <w:p>
            <w:pPr>
              <w:jc w:val="center"/>
              <w:rPr>
                <w:rFonts w:ascii="仿宋_GB2312" w:eastAsia="仿宋_GB2312"/>
                <w:sz w:val="20"/>
                <w:szCs w:val="20"/>
              </w:rPr>
            </w:pPr>
            <w:r>
              <w:rPr>
                <w:rFonts w:hint="eastAsia" w:ascii="仿宋_GB2312" w:eastAsia="仿宋_GB2312"/>
                <w:sz w:val="20"/>
                <w:szCs w:val="20"/>
              </w:rPr>
              <w:t>8.26</w:t>
            </w:r>
          </w:p>
        </w:tc>
        <w:tc>
          <w:tcPr>
            <w:tcW w:w="1693"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西吉县</w:t>
            </w:r>
          </w:p>
        </w:tc>
        <w:tc>
          <w:tcPr>
            <w:tcW w:w="2996" w:type="dxa"/>
            <w:tcBorders>
              <w:top w:val="nil"/>
              <w:left w:val="nil"/>
              <w:bottom w:val="single" w:color="auto" w:sz="4" w:space="0"/>
              <w:right w:val="single" w:color="auto" w:sz="4" w:space="0"/>
            </w:tcBorders>
            <w:vAlign w:val="center"/>
          </w:tcPr>
          <w:p>
            <w:pPr>
              <w:jc w:val="center"/>
              <w:rPr>
                <w:rFonts w:ascii="仿宋_GB2312" w:eastAsia="仿宋_GB2312"/>
                <w:sz w:val="20"/>
                <w:szCs w:val="20"/>
              </w:rPr>
            </w:pPr>
            <w:r>
              <w:rPr>
                <w:rFonts w:hint="eastAsia" w:ascii="仿宋_GB2312" w:eastAsia="仿宋_GB2312"/>
                <w:sz w:val="20"/>
                <w:szCs w:val="20"/>
              </w:rPr>
              <w:t>24.12</w:t>
            </w:r>
          </w:p>
        </w:tc>
      </w:tr>
      <w:tr>
        <w:tblPrEx>
          <w:tblLayout w:type="fixed"/>
          <w:tblCellMar>
            <w:top w:w="0" w:type="dxa"/>
            <w:left w:w="108" w:type="dxa"/>
            <w:bottom w:w="0" w:type="dxa"/>
            <w:right w:w="108" w:type="dxa"/>
          </w:tblCellMar>
        </w:tblPrEx>
        <w:trPr>
          <w:trHeight w:val="397" w:hRule="exact"/>
          <w:jc w:val="center"/>
        </w:trPr>
        <w:tc>
          <w:tcPr>
            <w:tcW w:w="1900" w:type="dxa"/>
            <w:tcBorders>
              <w:top w:val="nil"/>
              <w:left w:val="single" w:color="auto" w:sz="4" w:space="0"/>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宁东能源化工基地</w:t>
            </w:r>
          </w:p>
        </w:tc>
        <w:tc>
          <w:tcPr>
            <w:tcW w:w="2337" w:type="dxa"/>
            <w:tcBorders>
              <w:top w:val="nil"/>
              <w:left w:val="nil"/>
              <w:bottom w:val="single" w:color="auto" w:sz="4" w:space="0"/>
              <w:right w:val="single" w:color="auto" w:sz="4" w:space="0"/>
            </w:tcBorders>
            <w:vAlign w:val="center"/>
          </w:tcPr>
          <w:p>
            <w:pPr>
              <w:jc w:val="center"/>
              <w:rPr>
                <w:rFonts w:ascii="仿宋_GB2312" w:eastAsia="仿宋_GB2312"/>
                <w:sz w:val="20"/>
                <w:szCs w:val="20"/>
              </w:rPr>
            </w:pPr>
            <w:r>
              <w:rPr>
                <w:rFonts w:hint="eastAsia" w:ascii="仿宋_GB2312" w:eastAsia="仿宋_GB2312"/>
                <w:sz w:val="20"/>
                <w:szCs w:val="20"/>
              </w:rPr>
              <w:t>0.56</w:t>
            </w:r>
          </w:p>
        </w:tc>
        <w:tc>
          <w:tcPr>
            <w:tcW w:w="1693"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隆德县</w:t>
            </w:r>
          </w:p>
        </w:tc>
        <w:tc>
          <w:tcPr>
            <w:tcW w:w="2996" w:type="dxa"/>
            <w:tcBorders>
              <w:top w:val="nil"/>
              <w:left w:val="nil"/>
              <w:bottom w:val="single" w:color="auto" w:sz="4" w:space="0"/>
              <w:right w:val="single" w:color="auto" w:sz="4" w:space="0"/>
            </w:tcBorders>
            <w:vAlign w:val="center"/>
          </w:tcPr>
          <w:p>
            <w:pPr>
              <w:jc w:val="center"/>
              <w:rPr>
                <w:rFonts w:ascii="仿宋_GB2312" w:eastAsia="仿宋_GB2312"/>
                <w:sz w:val="20"/>
                <w:szCs w:val="20"/>
              </w:rPr>
            </w:pPr>
            <w:r>
              <w:rPr>
                <w:rFonts w:hint="eastAsia" w:ascii="仿宋_GB2312" w:eastAsia="仿宋_GB2312"/>
                <w:sz w:val="20"/>
                <w:szCs w:val="20"/>
              </w:rPr>
              <w:t>7.19</w:t>
            </w:r>
          </w:p>
        </w:tc>
      </w:tr>
      <w:tr>
        <w:tblPrEx>
          <w:tblLayout w:type="fixed"/>
          <w:tblCellMar>
            <w:top w:w="0" w:type="dxa"/>
            <w:left w:w="108" w:type="dxa"/>
            <w:bottom w:w="0" w:type="dxa"/>
            <w:right w:w="108" w:type="dxa"/>
          </w:tblCellMar>
        </w:tblPrEx>
        <w:trPr>
          <w:trHeight w:val="397" w:hRule="exact"/>
          <w:jc w:val="center"/>
        </w:trPr>
        <w:tc>
          <w:tcPr>
            <w:tcW w:w="1900" w:type="dxa"/>
            <w:tcBorders>
              <w:top w:val="nil"/>
              <w:left w:val="single" w:color="auto" w:sz="4" w:space="0"/>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石嘴山市</w:t>
            </w:r>
          </w:p>
        </w:tc>
        <w:tc>
          <w:tcPr>
            <w:tcW w:w="2337" w:type="dxa"/>
            <w:tcBorders>
              <w:top w:val="nil"/>
              <w:left w:val="nil"/>
              <w:bottom w:val="single" w:color="auto" w:sz="4" w:space="0"/>
              <w:right w:val="single" w:color="auto" w:sz="4" w:space="0"/>
            </w:tcBorders>
            <w:vAlign w:val="center"/>
          </w:tcPr>
          <w:p>
            <w:pPr>
              <w:jc w:val="center"/>
              <w:rPr>
                <w:rFonts w:ascii="仿宋_GB2312" w:eastAsia="仿宋_GB2312"/>
                <w:sz w:val="20"/>
                <w:szCs w:val="20"/>
              </w:rPr>
            </w:pPr>
            <w:r>
              <w:rPr>
                <w:rFonts w:hint="eastAsia" w:ascii="仿宋_GB2312" w:eastAsia="仿宋_GB2312"/>
                <w:sz w:val="20"/>
                <w:szCs w:val="20"/>
              </w:rPr>
              <w:t>4.81</w:t>
            </w:r>
          </w:p>
        </w:tc>
        <w:tc>
          <w:tcPr>
            <w:tcW w:w="1693"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泾源县</w:t>
            </w:r>
          </w:p>
        </w:tc>
        <w:tc>
          <w:tcPr>
            <w:tcW w:w="2996" w:type="dxa"/>
            <w:tcBorders>
              <w:top w:val="nil"/>
              <w:left w:val="nil"/>
              <w:bottom w:val="single" w:color="auto" w:sz="4" w:space="0"/>
              <w:right w:val="single" w:color="auto" w:sz="4" w:space="0"/>
            </w:tcBorders>
            <w:vAlign w:val="center"/>
          </w:tcPr>
          <w:p>
            <w:pPr>
              <w:jc w:val="center"/>
              <w:rPr>
                <w:rFonts w:ascii="仿宋_GB2312" w:eastAsia="仿宋_GB2312"/>
                <w:sz w:val="20"/>
                <w:szCs w:val="20"/>
              </w:rPr>
            </w:pPr>
            <w:r>
              <w:rPr>
                <w:rFonts w:hint="eastAsia" w:ascii="仿宋_GB2312" w:eastAsia="仿宋_GB2312"/>
                <w:sz w:val="20"/>
                <w:szCs w:val="20"/>
              </w:rPr>
              <w:t>6.65</w:t>
            </w:r>
          </w:p>
        </w:tc>
      </w:tr>
      <w:tr>
        <w:tblPrEx>
          <w:tblLayout w:type="fixed"/>
          <w:tblCellMar>
            <w:top w:w="0" w:type="dxa"/>
            <w:left w:w="108" w:type="dxa"/>
            <w:bottom w:w="0" w:type="dxa"/>
            <w:right w:w="108" w:type="dxa"/>
          </w:tblCellMar>
        </w:tblPrEx>
        <w:trPr>
          <w:trHeight w:val="397" w:hRule="exact"/>
          <w:jc w:val="center"/>
        </w:trPr>
        <w:tc>
          <w:tcPr>
            <w:tcW w:w="1900" w:type="dxa"/>
            <w:tcBorders>
              <w:top w:val="nil"/>
              <w:left w:val="single" w:color="auto" w:sz="4" w:space="0"/>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平罗县</w:t>
            </w:r>
          </w:p>
        </w:tc>
        <w:tc>
          <w:tcPr>
            <w:tcW w:w="2337" w:type="dxa"/>
            <w:tcBorders>
              <w:top w:val="nil"/>
              <w:left w:val="nil"/>
              <w:bottom w:val="single" w:color="auto" w:sz="4" w:space="0"/>
              <w:right w:val="single" w:color="auto" w:sz="4" w:space="0"/>
            </w:tcBorders>
            <w:vAlign w:val="center"/>
          </w:tcPr>
          <w:p>
            <w:pPr>
              <w:jc w:val="center"/>
              <w:rPr>
                <w:rFonts w:ascii="仿宋_GB2312" w:eastAsia="仿宋_GB2312"/>
                <w:sz w:val="20"/>
                <w:szCs w:val="20"/>
              </w:rPr>
            </w:pPr>
            <w:r>
              <w:rPr>
                <w:rFonts w:hint="eastAsia" w:ascii="仿宋_GB2312" w:eastAsia="仿宋_GB2312"/>
                <w:sz w:val="20"/>
                <w:szCs w:val="20"/>
              </w:rPr>
              <w:t>10.28</w:t>
            </w:r>
          </w:p>
        </w:tc>
        <w:tc>
          <w:tcPr>
            <w:tcW w:w="1693"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彭阳县</w:t>
            </w:r>
          </w:p>
        </w:tc>
        <w:tc>
          <w:tcPr>
            <w:tcW w:w="2996" w:type="dxa"/>
            <w:tcBorders>
              <w:top w:val="nil"/>
              <w:left w:val="nil"/>
              <w:bottom w:val="single" w:color="auto" w:sz="4" w:space="0"/>
              <w:right w:val="single" w:color="auto" w:sz="4" w:space="0"/>
            </w:tcBorders>
            <w:vAlign w:val="center"/>
          </w:tcPr>
          <w:p>
            <w:pPr>
              <w:jc w:val="center"/>
              <w:rPr>
                <w:rFonts w:ascii="仿宋_GB2312" w:eastAsia="仿宋_GB2312"/>
                <w:sz w:val="20"/>
                <w:szCs w:val="20"/>
              </w:rPr>
            </w:pPr>
            <w:r>
              <w:rPr>
                <w:rFonts w:hint="eastAsia" w:ascii="仿宋_GB2312" w:eastAsia="仿宋_GB2312"/>
                <w:sz w:val="20"/>
                <w:szCs w:val="20"/>
              </w:rPr>
              <w:t>12.68</w:t>
            </w:r>
          </w:p>
        </w:tc>
      </w:tr>
      <w:tr>
        <w:tblPrEx>
          <w:tblLayout w:type="fixed"/>
          <w:tblCellMar>
            <w:top w:w="0" w:type="dxa"/>
            <w:left w:w="108" w:type="dxa"/>
            <w:bottom w:w="0" w:type="dxa"/>
            <w:right w:w="108" w:type="dxa"/>
          </w:tblCellMar>
        </w:tblPrEx>
        <w:trPr>
          <w:trHeight w:val="397" w:hRule="exact"/>
          <w:jc w:val="center"/>
        </w:trPr>
        <w:tc>
          <w:tcPr>
            <w:tcW w:w="1900" w:type="dxa"/>
            <w:tcBorders>
              <w:top w:val="nil"/>
              <w:left w:val="single" w:color="auto" w:sz="4" w:space="0"/>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吴忠市</w:t>
            </w:r>
          </w:p>
        </w:tc>
        <w:tc>
          <w:tcPr>
            <w:tcW w:w="2337" w:type="dxa"/>
            <w:tcBorders>
              <w:top w:val="nil"/>
              <w:left w:val="nil"/>
              <w:bottom w:val="single" w:color="auto" w:sz="4" w:space="0"/>
              <w:right w:val="single" w:color="auto" w:sz="4" w:space="0"/>
            </w:tcBorders>
            <w:vAlign w:val="center"/>
          </w:tcPr>
          <w:p>
            <w:pPr>
              <w:jc w:val="center"/>
              <w:rPr>
                <w:rFonts w:ascii="仿宋_GB2312" w:eastAsia="仿宋_GB2312"/>
                <w:sz w:val="20"/>
                <w:szCs w:val="20"/>
              </w:rPr>
            </w:pPr>
            <w:r>
              <w:rPr>
                <w:rFonts w:hint="eastAsia" w:ascii="仿宋_GB2312" w:eastAsia="仿宋_GB2312"/>
                <w:sz w:val="20"/>
                <w:szCs w:val="20"/>
              </w:rPr>
              <w:t>14.29</w:t>
            </w:r>
          </w:p>
        </w:tc>
        <w:tc>
          <w:tcPr>
            <w:tcW w:w="1693"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中卫市</w:t>
            </w:r>
          </w:p>
        </w:tc>
        <w:tc>
          <w:tcPr>
            <w:tcW w:w="2996" w:type="dxa"/>
            <w:tcBorders>
              <w:top w:val="nil"/>
              <w:left w:val="nil"/>
              <w:bottom w:val="single" w:color="auto" w:sz="4" w:space="0"/>
              <w:right w:val="single" w:color="auto" w:sz="4" w:space="0"/>
            </w:tcBorders>
            <w:vAlign w:val="center"/>
          </w:tcPr>
          <w:p>
            <w:pPr>
              <w:jc w:val="center"/>
              <w:rPr>
                <w:rFonts w:ascii="仿宋_GB2312" w:eastAsia="仿宋_GB2312"/>
                <w:sz w:val="20"/>
                <w:szCs w:val="20"/>
              </w:rPr>
            </w:pPr>
            <w:r>
              <w:rPr>
                <w:rFonts w:hint="eastAsia" w:ascii="仿宋_GB2312" w:eastAsia="仿宋_GB2312"/>
                <w:sz w:val="20"/>
                <w:szCs w:val="20"/>
              </w:rPr>
              <w:t>15.58</w:t>
            </w:r>
          </w:p>
        </w:tc>
      </w:tr>
      <w:tr>
        <w:tblPrEx>
          <w:tblLayout w:type="fixed"/>
          <w:tblCellMar>
            <w:top w:w="0" w:type="dxa"/>
            <w:left w:w="108" w:type="dxa"/>
            <w:bottom w:w="0" w:type="dxa"/>
            <w:right w:w="108" w:type="dxa"/>
          </w:tblCellMar>
        </w:tblPrEx>
        <w:trPr>
          <w:trHeight w:val="397" w:hRule="exact"/>
          <w:jc w:val="center"/>
        </w:trPr>
        <w:tc>
          <w:tcPr>
            <w:tcW w:w="1900" w:type="dxa"/>
            <w:tcBorders>
              <w:top w:val="nil"/>
              <w:left w:val="single" w:color="auto" w:sz="4" w:space="0"/>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青铜峡市</w:t>
            </w:r>
          </w:p>
        </w:tc>
        <w:tc>
          <w:tcPr>
            <w:tcW w:w="2337" w:type="dxa"/>
            <w:tcBorders>
              <w:top w:val="nil"/>
              <w:left w:val="nil"/>
              <w:bottom w:val="single" w:color="auto" w:sz="4" w:space="0"/>
              <w:right w:val="single" w:color="auto" w:sz="4" w:space="0"/>
            </w:tcBorders>
            <w:vAlign w:val="center"/>
          </w:tcPr>
          <w:p>
            <w:pPr>
              <w:jc w:val="center"/>
              <w:rPr>
                <w:rFonts w:ascii="仿宋_GB2312" w:eastAsia="仿宋_GB2312"/>
                <w:sz w:val="20"/>
                <w:szCs w:val="20"/>
              </w:rPr>
            </w:pPr>
            <w:r>
              <w:rPr>
                <w:rFonts w:hint="eastAsia" w:ascii="仿宋_GB2312" w:eastAsia="仿宋_GB2312"/>
                <w:sz w:val="20"/>
                <w:szCs w:val="20"/>
              </w:rPr>
              <w:t>11.22</w:t>
            </w:r>
          </w:p>
        </w:tc>
        <w:tc>
          <w:tcPr>
            <w:tcW w:w="1693"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中宁县</w:t>
            </w:r>
          </w:p>
        </w:tc>
        <w:tc>
          <w:tcPr>
            <w:tcW w:w="2996" w:type="dxa"/>
            <w:tcBorders>
              <w:top w:val="nil"/>
              <w:left w:val="nil"/>
              <w:bottom w:val="single" w:color="auto" w:sz="4" w:space="0"/>
              <w:right w:val="single" w:color="auto" w:sz="4" w:space="0"/>
            </w:tcBorders>
            <w:vAlign w:val="center"/>
          </w:tcPr>
          <w:p>
            <w:pPr>
              <w:jc w:val="center"/>
              <w:rPr>
                <w:rFonts w:ascii="仿宋_GB2312" w:eastAsia="仿宋_GB2312"/>
                <w:sz w:val="20"/>
                <w:szCs w:val="20"/>
              </w:rPr>
            </w:pPr>
            <w:r>
              <w:rPr>
                <w:rFonts w:hint="eastAsia" w:ascii="仿宋_GB2312" w:eastAsia="仿宋_GB2312"/>
                <w:sz w:val="20"/>
                <w:szCs w:val="20"/>
              </w:rPr>
              <w:t>12.43</w:t>
            </w:r>
          </w:p>
        </w:tc>
      </w:tr>
      <w:tr>
        <w:tblPrEx>
          <w:tblLayout w:type="fixed"/>
          <w:tblCellMar>
            <w:top w:w="0" w:type="dxa"/>
            <w:left w:w="108" w:type="dxa"/>
            <w:bottom w:w="0" w:type="dxa"/>
            <w:right w:w="108" w:type="dxa"/>
          </w:tblCellMar>
        </w:tblPrEx>
        <w:trPr>
          <w:trHeight w:val="397" w:hRule="exact"/>
          <w:jc w:val="center"/>
        </w:trPr>
        <w:tc>
          <w:tcPr>
            <w:tcW w:w="1900" w:type="dxa"/>
            <w:tcBorders>
              <w:top w:val="nil"/>
              <w:left w:val="single" w:color="auto" w:sz="4" w:space="0"/>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盐池县</w:t>
            </w:r>
          </w:p>
        </w:tc>
        <w:tc>
          <w:tcPr>
            <w:tcW w:w="2337" w:type="dxa"/>
            <w:tcBorders>
              <w:top w:val="nil"/>
              <w:left w:val="nil"/>
              <w:bottom w:val="single" w:color="auto" w:sz="4" w:space="0"/>
              <w:right w:val="single" w:color="auto" w:sz="4" w:space="0"/>
            </w:tcBorders>
            <w:vAlign w:val="center"/>
          </w:tcPr>
          <w:p>
            <w:pPr>
              <w:jc w:val="center"/>
              <w:rPr>
                <w:rFonts w:ascii="仿宋_GB2312" w:eastAsia="仿宋_GB2312"/>
                <w:sz w:val="20"/>
                <w:szCs w:val="20"/>
              </w:rPr>
            </w:pPr>
            <w:r>
              <w:rPr>
                <w:rFonts w:hint="eastAsia" w:ascii="仿宋_GB2312" w:eastAsia="仿宋_GB2312"/>
                <w:sz w:val="20"/>
                <w:szCs w:val="20"/>
              </w:rPr>
              <w:t>8.13</w:t>
            </w:r>
          </w:p>
        </w:tc>
        <w:tc>
          <w:tcPr>
            <w:tcW w:w="1693" w:type="dxa"/>
            <w:tcBorders>
              <w:top w:val="nil"/>
              <w:left w:val="nil"/>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海原县</w:t>
            </w:r>
          </w:p>
        </w:tc>
        <w:tc>
          <w:tcPr>
            <w:tcW w:w="2996" w:type="dxa"/>
            <w:tcBorders>
              <w:top w:val="nil"/>
              <w:left w:val="nil"/>
              <w:bottom w:val="single" w:color="auto" w:sz="4" w:space="0"/>
              <w:right w:val="single" w:color="auto" w:sz="4" w:space="0"/>
            </w:tcBorders>
            <w:vAlign w:val="center"/>
          </w:tcPr>
          <w:p>
            <w:pPr>
              <w:jc w:val="center"/>
              <w:rPr>
                <w:rFonts w:ascii="仿宋_GB2312" w:eastAsia="仿宋_GB2312"/>
                <w:sz w:val="20"/>
                <w:szCs w:val="20"/>
              </w:rPr>
            </w:pPr>
            <w:r>
              <w:rPr>
                <w:rFonts w:hint="eastAsia" w:ascii="仿宋_GB2312" w:eastAsia="仿宋_GB2312"/>
                <w:sz w:val="20"/>
                <w:szCs w:val="20"/>
              </w:rPr>
              <w:t>21.63</w:t>
            </w:r>
          </w:p>
        </w:tc>
      </w:tr>
      <w:tr>
        <w:tblPrEx>
          <w:tblLayout w:type="fixed"/>
          <w:tblCellMar>
            <w:top w:w="0" w:type="dxa"/>
            <w:left w:w="108" w:type="dxa"/>
            <w:bottom w:w="0" w:type="dxa"/>
            <w:right w:w="108" w:type="dxa"/>
          </w:tblCellMar>
        </w:tblPrEx>
        <w:trPr>
          <w:trHeight w:val="397" w:hRule="exact"/>
          <w:jc w:val="center"/>
        </w:trPr>
        <w:tc>
          <w:tcPr>
            <w:tcW w:w="190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Cs w:val="21"/>
              </w:rPr>
            </w:pPr>
            <w:r>
              <w:rPr>
                <w:rFonts w:hint="eastAsia" w:ascii="仿宋_GB2312" w:eastAsia="仿宋_GB2312"/>
                <w:szCs w:val="21"/>
              </w:rPr>
              <w:t>合计</w:t>
            </w:r>
          </w:p>
        </w:tc>
        <w:tc>
          <w:tcPr>
            <w:tcW w:w="7026"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rPr>
            </w:pPr>
            <w:r>
              <w:rPr>
                <w:rFonts w:hint="eastAsia" w:ascii="仿宋_GB2312" w:eastAsia="仿宋_GB2312"/>
                <w:sz w:val="20"/>
                <w:szCs w:val="20"/>
              </w:rPr>
              <w:t xml:space="preserve">230.74     </w:t>
            </w:r>
          </w:p>
        </w:tc>
      </w:tr>
    </w:tbl>
    <w:p>
      <w:pPr>
        <w:spacing w:line="560" w:lineRule="exact"/>
        <w:ind w:firstLine="643" w:firstLineChars="200"/>
        <w:rPr>
          <w:rFonts w:ascii="仿宋_GB2312" w:eastAsia="仿宋_GB2312"/>
          <w:sz w:val="32"/>
          <w:szCs w:val="32"/>
        </w:rPr>
      </w:pPr>
      <w:r>
        <w:rPr>
          <w:rFonts w:hint="eastAsia" w:ascii="楷体_GB2312" w:eastAsia="楷体_GB2312"/>
          <w:b/>
          <w:sz w:val="32"/>
          <w:szCs w:val="32"/>
        </w:rPr>
        <w:t>（二）基金收支情况。</w:t>
      </w:r>
      <w:r>
        <w:rPr>
          <w:rFonts w:hint="eastAsia" w:ascii="仿宋_GB2312" w:eastAsia="仿宋_GB2312"/>
          <w:sz w:val="32"/>
          <w:szCs w:val="32"/>
        </w:rPr>
        <w:t>2021年，城乡居民基本养老保险基金收入20.30亿元，比上年增加3.15亿元，增长18.37%；比2017年增加7.89亿元，年平均增长13.09%。基金支出12.14亿元，比上年增加0.85亿元，增长7.53%；比2017年增加3.83亿元，年平均增长9.94%。2021年底，城乡居民基本养老保险基金累计结余51.16亿元，比上年增加8.17亿元，增长19%；比2017年增加23.85亿元，年平均增长16.99%。</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1.基金收入情况。</w:t>
      </w:r>
      <w:r>
        <w:rPr>
          <w:rFonts w:hint="eastAsia" w:ascii="仿宋_GB2312" w:eastAsia="仿宋_GB2312"/>
          <w:sz w:val="32"/>
          <w:szCs w:val="32"/>
        </w:rPr>
        <w:t>2021年城乡居民基本养老保险基金收入中,个人缴费收入5.75亿元，占基金总收入的28.33%；财政补助收入13.01亿元，占基金总收入的64.09%；利息收入0.71亿元，占基金总收入的3.50%；转移收入0.10亿元，占基金总收入的0.49%；其他收入0.04亿元，占基金总收入的0.20%；委托投资收益0.69亿元，占基金总收入的3.40%。</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2.基金支出情况。</w:t>
      </w:r>
      <w:r>
        <w:rPr>
          <w:rFonts w:hint="eastAsia" w:ascii="仿宋_GB2312" w:eastAsia="仿宋_GB2312"/>
          <w:sz w:val="32"/>
          <w:szCs w:val="32"/>
        </w:rPr>
        <w:t>2021年城乡居民基本养老保险基金支出12.14亿元。其中，基础养老金支出10.93亿元，占基金总支出的90.03%；个人账户养老金支出0.82亿元，占基金总支出的6.75%；丧葬抚恤补助支出0.35亿元，占基金总支出的2.88%；转移支出0.04亿元，占基金总支出的0.33%。</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3.基金累计结余情况。</w:t>
      </w:r>
      <w:r>
        <w:rPr>
          <w:rFonts w:hint="eastAsia" w:ascii="仿宋_GB2312" w:eastAsia="仿宋_GB2312"/>
          <w:sz w:val="32"/>
          <w:szCs w:val="32"/>
        </w:rPr>
        <w:t>2021年底，城乡居民基本养老保险基金累计结余51.16亿元，比上年增加8.17亿元，增长19%；比2017年增加23.85亿元，年平均增长16.99%。</w:t>
      </w:r>
    </w:p>
    <w:p>
      <w:pPr>
        <w:jc w:val="center"/>
        <w:rPr>
          <w:rFonts w:ascii="仿宋_GB2312" w:eastAsia="仿宋_GB2312"/>
          <w:sz w:val="32"/>
        </w:rPr>
      </w:pPr>
      <w:r>
        <w:rPr>
          <w:rFonts w:hint="eastAsia" w:ascii="仿宋_GB2312" w:eastAsia="仿宋_GB2312"/>
          <w:sz w:val="32"/>
        </w:rPr>
        <w:drawing>
          <wp:inline distT="0" distB="0" distL="0" distR="0">
            <wp:extent cx="5405755" cy="2706370"/>
            <wp:effectExtent l="0" t="0" r="444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3">
                      <a:extLst>
                        <a:ext uri="{28A0092B-C50C-407E-A947-70E740481C1C}">
                          <a14:useLocalDpi xmlns:a14="http://schemas.microsoft.com/office/drawing/2010/main" val="0"/>
                        </a:ext>
                      </a:extLst>
                    </a:blip>
                    <a:srcRect l="-12" t="4616" r="12" b="-840"/>
                    <a:stretch>
                      <a:fillRect/>
                    </a:stretch>
                  </pic:blipFill>
                  <pic:spPr>
                    <a:xfrm>
                      <a:off x="0" y="0"/>
                      <a:ext cx="5439419" cy="2723134"/>
                    </a:xfrm>
                    <a:prstGeom prst="rect">
                      <a:avLst/>
                    </a:prstGeom>
                    <a:ln>
                      <a:noFill/>
                    </a:ln>
                  </pic:spPr>
                </pic:pic>
              </a:graphicData>
            </a:graphic>
          </wp:inline>
        </w:drawing>
      </w:r>
    </w:p>
    <w:p>
      <w:pPr>
        <w:autoSpaceDE w:val="0"/>
        <w:autoSpaceDN w:val="0"/>
        <w:adjustRightInd w:val="0"/>
        <w:jc w:val="center"/>
        <w:rPr>
          <w:rFonts w:ascii="仿宋_GB2312" w:eastAsia="仿宋_GB2312"/>
          <w:spacing w:val="-20"/>
          <w:sz w:val="28"/>
          <w:szCs w:val="28"/>
        </w:rPr>
      </w:pPr>
      <w:r>
        <w:rPr>
          <w:rFonts w:hint="eastAsia" w:ascii="仿宋_GB2312" w:eastAsia="仿宋_GB2312"/>
          <w:spacing w:val="-20"/>
          <w:sz w:val="28"/>
          <w:szCs w:val="28"/>
        </w:rPr>
        <w:t>图1-23：2017年-2021年城乡居民基本养老保险基金收支累计结余情况</w:t>
      </w:r>
    </w:p>
    <w:p>
      <w:pPr>
        <w:autoSpaceDE w:val="0"/>
        <w:autoSpaceDN w:val="0"/>
        <w:adjustRightInd w:val="0"/>
        <w:spacing w:line="360" w:lineRule="exact"/>
        <w:jc w:val="center"/>
        <w:rPr>
          <w:rFonts w:ascii="仿宋_GB2312" w:eastAsia="仿宋_GB2312"/>
          <w:kern w:val="0"/>
          <w:sz w:val="30"/>
          <w:szCs w:val="30"/>
        </w:rPr>
      </w:pPr>
    </w:p>
    <w:p>
      <w:pPr>
        <w:autoSpaceDE w:val="0"/>
        <w:autoSpaceDN w:val="0"/>
        <w:adjustRightInd w:val="0"/>
        <w:spacing w:line="360" w:lineRule="exact"/>
        <w:jc w:val="center"/>
        <w:rPr>
          <w:rFonts w:ascii="仿宋_GB2312" w:eastAsia="仿宋_GB2312"/>
          <w:kern w:val="0"/>
          <w:sz w:val="28"/>
          <w:szCs w:val="28"/>
        </w:rPr>
      </w:pPr>
      <w:r>
        <w:rPr>
          <w:rFonts w:hint="eastAsia" w:ascii="仿宋_GB2312" w:eastAsia="仿宋_GB2312"/>
          <w:kern w:val="0"/>
          <w:sz w:val="28"/>
          <w:szCs w:val="28"/>
        </w:rPr>
        <w:t>表1-9：2021年城乡居民基本养老保险基金收支结余及分布情况表</w:t>
      </w:r>
    </w:p>
    <w:p>
      <w:pPr>
        <w:autoSpaceDE w:val="0"/>
        <w:autoSpaceDN w:val="0"/>
        <w:adjustRightInd w:val="0"/>
        <w:jc w:val="center"/>
        <w:rPr>
          <w:rFonts w:ascii="仿宋_GB2312" w:eastAsia="仿宋_GB2312"/>
          <w:kern w:val="0"/>
          <w:sz w:val="44"/>
          <w:szCs w:val="44"/>
        </w:rPr>
      </w:pPr>
      <w:r>
        <w:rPr>
          <w:rFonts w:hint="eastAsia" w:ascii="仿宋_GB2312" w:eastAsia="仿宋_GB2312"/>
          <w:kern w:val="0"/>
          <w:sz w:val="44"/>
          <w:szCs w:val="44"/>
        </w:rPr>
        <w:drawing>
          <wp:inline distT="0" distB="0" distL="0" distR="0">
            <wp:extent cx="5687060" cy="3022600"/>
            <wp:effectExtent l="0" t="0" r="0"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740777" cy="3051503"/>
                    </a:xfrm>
                    <a:prstGeom prst="rect">
                      <a:avLst/>
                    </a:prstGeom>
                  </pic:spPr>
                </pic:pic>
              </a:graphicData>
            </a:graphic>
          </wp:inline>
        </w:drawing>
      </w:r>
    </w:p>
    <w:p>
      <w:pPr>
        <w:autoSpaceDE w:val="0"/>
        <w:autoSpaceDN w:val="0"/>
        <w:adjustRightInd w:val="0"/>
        <w:spacing w:line="560" w:lineRule="exact"/>
        <w:jc w:val="both"/>
        <w:rPr>
          <w:rFonts w:ascii="仿宋_GB2312" w:eastAsia="仿宋_GB2312"/>
          <w:kern w:val="0"/>
          <w:sz w:val="44"/>
          <w:szCs w:val="44"/>
        </w:rPr>
      </w:pPr>
    </w:p>
    <w:p>
      <w:pPr>
        <w:autoSpaceDE w:val="0"/>
        <w:autoSpaceDN w:val="0"/>
        <w:adjustRightInd w:val="0"/>
        <w:spacing w:line="560" w:lineRule="exact"/>
        <w:jc w:val="both"/>
        <w:rPr>
          <w:rFonts w:ascii="黑体" w:hAnsi="黑体" w:eastAsia="黑体" w:cs="黑体"/>
          <w:kern w:val="0"/>
          <w:sz w:val="32"/>
          <w:szCs w:val="32"/>
        </w:rPr>
      </w:pPr>
      <w:r>
        <w:rPr>
          <w:rFonts w:hint="eastAsia" w:ascii="黑体" w:hAnsi="黑体" w:eastAsia="黑体" w:cs="黑体"/>
          <w:kern w:val="0"/>
          <w:sz w:val="32"/>
          <w:szCs w:val="32"/>
        </w:rPr>
        <w:t>第二部分</w:t>
      </w:r>
      <w:r>
        <w:rPr>
          <w:rFonts w:ascii="黑体" w:hAnsi="黑体" w:eastAsia="黑体" w:cs="黑体"/>
          <w:kern w:val="0"/>
          <w:sz w:val="32"/>
          <w:szCs w:val="32"/>
        </w:rPr>
        <w:t xml:space="preserve">   </w:t>
      </w:r>
      <w:r>
        <w:rPr>
          <w:rFonts w:hint="eastAsia" w:ascii="黑体" w:hAnsi="黑体" w:eastAsia="黑体" w:cs="黑体"/>
          <w:kern w:val="0"/>
          <w:sz w:val="32"/>
          <w:szCs w:val="32"/>
        </w:rPr>
        <w:t>工伤保险</w:t>
      </w:r>
    </w:p>
    <w:p>
      <w:pPr>
        <w:autoSpaceDE w:val="0"/>
        <w:autoSpaceDN w:val="0"/>
        <w:adjustRightInd w:val="0"/>
        <w:spacing w:line="560" w:lineRule="exact"/>
        <w:ind w:firstLine="640" w:firstLineChars="200"/>
        <w:rPr>
          <w:rFonts w:ascii="仿宋_GB2312" w:eastAsia="仿宋_GB2312"/>
          <w:kern w:val="0"/>
          <w:sz w:val="32"/>
          <w:szCs w:val="32"/>
        </w:rPr>
      </w:pPr>
    </w:p>
    <w:p>
      <w:pPr>
        <w:autoSpaceDE w:val="0"/>
        <w:autoSpaceDN w:val="0"/>
        <w:adjustRightInd w:val="0"/>
        <w:spacing w:line="560" w:lineRule="exact"/>
        <w:ind w:firstLine="640" w:firstLineChars="200"/>
        <w:rPr>
          <w:rFonts w:ascii="黑体" w:hAnsi="黑体" w:eastAsia="黑体"/>
          <w:kern w:val="0"/>
          <w:sz w:val="32"/>
          <w:szCs w:val="32"/>
        </w:rPr>
      </w:pPr>
      <w:r>
        <w:rPr>
          <w:rFonts w:hint="eastAsia" w:ascii="黑体" w:hAnsi="黑体" w:eastAsia="黑体"/>
          <w:kern w:val="0"/>
          <w:sz w:val="32"/>
          <w:szCs w:val="32"/>
        </w:rPr>
        <w:t>一、参保情况</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截至2021年底，工伤保险参保人数为</w:t>
      </w:r>
      <w:r>
        <w:rPr>
          <w:rFonts w:hint="eastAsia" w:ascii="仿宋_GB2312" w:eastAsia="仿宋_GB2312"/>
          <w:color w:val="000000"/>
          <w:sz w:val="32"/>
          <w:szCs w:val="32"/>
        </w:rPr>
        <w:t>143.79</w:t>
      </w:r>
      <w:r>
        <w:rPr>
          <w:rFonts w:hint="eastAsia" w:ascii="仿宋_GB2312" w:eastAsia="仿宋_GB2312"/>
          <w:sz w:val="32"/>
          <w:szCs w:val="32"/>
        </w:rPr>
        <w:t>万人，比上年增加11.24万人，增长8.48%；比2017年增加53.44万人，年平均增长12.32%。其中，农民工参保52.41万人，占参保总人数的36.45%, 比上年增加8.06万人，增长18.18%。</w:t>
      </w:r>
    </w:p>
    <w:p>
      <w:pPr>
        <w:jc w:val="center"/>
        <w:rPr>
          <w:rFonts w:ascii="仿宋_GB2312" w:eastAsia="仿宋_GB2312"/>
          <w:sz w:val="30"/>
          <w:szCs w:val="30"/>
        </w:rPr>
      </w:pPr>
      <w:r>
        <w:rPr>
          <w:rFonts w:hint="eastAsia" w:ascii="仿宋_GB2312" w:eastAsia="仿宋_GB2312"/>
          <w:sz w:val="32"/>
          <w:szCs w:val="32"/>
        </w:rPr>
        <w:drawing>
          <wp:inline distT="0" distB="0" distL="0" distR="0">
            <wp:extent cx="5579110" cy="2755900"/>
            <wp:effectExtent l="19050" t="19050" r="21590" b="2540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594755" cy="2763401"/>
                    </a:xfrm>
                    <a:prstGeom prst="rect">
                      <a:avLst/>
                    </a:prstGeom>
                    <a:noFill/>
                    <a:ln w="9525">
                      <a:solidFill>
                        <a:schemeClr val="tx1"/>
                      </a:solidFill>
                    </a:ln>
                  </pic:spPr>
                </pic:pic>
              </a:graphicData>
            </a:graphic>
          </wp:inline>
        </w:drawing>
      </w:r>
    </w:p>
    <w:p>
      <w:pPr>
        <w:autoSpaceDE w:val="0"/>
        <w:autoSpaceDN w:val="0"/>
        <w:adjustRightInd w:val="0"/>
        <w:snapToGrid w:val="0"/>
        <w:jc w:val="center"/>
        <w:rPr>
          <w:rFonts w:ascii="仿宋_GB2312" w:eastAsia="仿宋_GB2312"/>
          <w:kern w:val="0"/>
          <w:sz w:val="28"/>
          <w:szCs w:val="28"/>
        </w:rPr>
      </w:pPr>
      <w:r>
        <w:rPr>
          <w:rFonts w:hint="eastAsia" w:ascii="仿宋_GB2312" w:hAnsi="Times New Roman" w:eastAsia="仿宋_GB2312"/>
          <w:sz w:val="28"/>
          <w:szCs w:val="28"/>
        </w:rPr>
        <w:t>图2-1：2017年-2021年工伤保险参保人数及增长情况</w:t>
      </w:r>
    </w:p>
    <w:p>
      <w:pPr>
        <w:autoSpaceDE w:val="0"/>
        <w:autoSpaceDN w:val="0"/>
        <w:adjustRightInd w:val="0"/>
        <w:snapToGrid w:val="0"/>
        <w:jc w:val="center"/>
        <w:rPr>
          <w:rFonts w:ascii="仿宋_GB2312" w:eastAsia="仿宋_GB2312"/>
          <w:kern w:val="0"/>
          <w:sz w:val="28"/>
          <w:szCs w:val="28"/>
        </w:rPr>
      </w:pPr>
    </w:p>
    <w:p>
      <w:pPr>
        <w:autoSpaceDE w:val="0"/>
        <w:autoSpaceDN w:val="0"/>
        <w:adjustRightInd w:val="0"/>
        <w:snapToGrid w:val="0"/>
        <w:jc w:val="center"/>
        <w:rPr>
          <w:rFonts w:ascii="仿宋_GB2312" w:eastAsia="仿宋_GB2312"/>
          <w:b/>
          <w:bCs/>
          <w:kern w:val="0"/>
          <w:sz w:val="28"/>
          <w:szCs w:val="28"/>
        </w:rPr>
      </w:pPr>
      <w:r>
        <w:rPr>
          <w:rFonts w:hint="eastAsia" w:ascii="仿宋_GB2312" w:eastAsia="仿宋_GB2312"/>
          <w:kern w:val="0"/>
          <w:sz w:val="28"/>
          <w:szCs w:val="28"/>
        </w:rPr>
        <w:t>表2-1：2021年分市县工伤保险参保情况表</w:t>
      </w:r>
    </w:p>
    <w:p>
      <w:pPr>
        <w:autoSpaceDE w:val="0"/>
        <w:autoSpaceDN w:val="0"/>
        <w:adjustRightInd w:val="0"/>
        <w:snapToGrid w:val="0"/>
        <w:jc w:val="right"/>
        <w:rPr>
          <w:rFonts w:ascii="仿宋_GB2312" w:eastAsia="仿宋_GB2312"/>
          <w:bCs/>
          <w:kern w:val="0"/>
          <w:sz w:val="28"/>
          <w:szCs w:val="28"/>
        </w:rPr>
      </w:pPr>
      <w:r>
        <w:rPr>
          <w:rFonts w:hint="eastAsia" w:ascii="仿宋_GB2312" w:eastAsia="仿宋_GB2312"/>
          <w:bCs/>
          <w:kern w:val="0"/>
          <w:sz w:val="28"/>
          <w:szCs w:val="28"/>
        </w:rPr>
        <w:t>单位：人</w:t>
      </w:r>
    </w:p>
    <w:tbl>
      <w:tblPr>
        <w:tblStyle w:val="23"/>
        <w:tblW w:w="9174" w:type="dxa"/>
        <w:jc w:val="center"/>
        <w:tblInd w:w="0" w:type="dxa"/>
        <w:tblLayout w:type="fixed"/>
        <w:tblCellMar>
          <w:top w:w="0" w:type="dxa"/>
          <w:left w:w="108" w:type="dxa"/>
          <w:bottom w:w="0" w:type="dxa"/>
          <w:right w:w="108" w:type="dxa"/>
        </w:tblCellMar>
      </w:tblPr>
      <w:tblGrid>
        <w:gridCol w:w="2292"/>
        <w:gridCol w:w="2295"/>
        <w:gridCol w:w="2292"/>
        <w:gridCol w:w="2295"/>
      </w:tblGrid>
      <w:tr>
        <w:tblPrEx>
          <w:tblLayout w:type="fixed"/>
          <w:tblCellMar>
            <w:top w:w="0" w:type="dxa"/>
            <w:left w:w="108" w:type="dxa"/>
            <w:bottom w:w="0" w:type="dxa"/>
            <w:right w:w="108" w:type="dxa"/>
          </w:tblCellMar>
        </w:tblPrEx>
        <w:trPr>
          <w:trHeight w:val="170" w:hRule="atLeast"/>
          <w:jc w:val="center"/>
        </w:trPr>
        <w:tc>
          <w:tcPr>
            <w:tcW w:w="22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eastAsia="仿宋_GB2312"/>
                <w:b/>
                <w:bCs/>
                <w:color w:val="000000"/>
                <w:kern w:val="0"/>
                <w:sz w:val="24"/>
              </w:rPr>
            </w:pPr>
            <w:r>
              <w:rPr>
                <w:rFonts w:hint="eastAsia" w:ascii="仿宋_GB2312" w:eastAsia="仿宋_GB2312"/>
                <w:b/>
                <w:bCs/>
                <w:color w:val="000000"/>
                <w:kern w:val="0"/>
                <w:sz w:val="24"/>
              </w:rPr>
              <w:t>市县</w:t>
            </w:r>
          </w:p>
        </w:tc>
        <w:tc>
          <w:tcPr>
            <w:tcW w:w="2295" w:type="dxa"/>
            <w:tcBorders>
              <w:top w:val="single" w:color="auto" w:sz="4" w:space="0"/>
              <w:left w:val="nil"/>
              <w:bottom w:val="single" w:color="auto" w:sz="4" w:space="0"/>
              <w:right w:val="single" w:color="auto" w:sz="4" w:space="0"/>
            </w:tcBorders>
            <w:vAlign w:val="center"/>
          </w:tcPr>
          <w:p>
            <w:pPr>
              <w:widowControl/>
              <w:jc w:val="center"/>
              <w:rPr>
                <w:rFonts w:ascii="仿宋_GB2312" w:eastAsia="仿宋_GB2312"/>
                <w:b/>
                <w:bCs/>
                <w:color w:val="000000"/>
                <w:kern w:val="0"/>
                <w:sz w:val="24"/>
              </w:rPr>
            </w:pPr>
            <w:r>
              <w:rPr>
                <w:rFonts w:hint="eastAsia" w:ascii="仿宋_GB2312" w:eastAsia="仿宋_GB2312"/>
                <w:b/>
                <w:bCs/>
                <w:color w:val="000000"/>
                <w:kern w:val="0"/>
                <w:sz w:val="24"/>
              </w:rPr>
              <w:t>参保人数</w:t>
            </w:r>
          </w:p>
        </w:tc>
        <w:tc>
          <w:tcPr>
            <w:tcW w:w="2292" w:type="dxa"/>
            <w:tcBorders>
              <w:top w:val="single" w:color="auto" w:sz="4" w:space="0"/>
              <w:left w:val="nil"/>
              <w:bottom w:val="single" w:color="auto" w:sz="4" w:space="0"/>
              <w:right w:val="single" w:color="auto" w:sz="4" w:space="0"/>
            </w:tcBorders>
            <w:vAlign w:val="center"/>
          </w:tcPr>
          <w:p>
            <w:pPr>
              <w:widowControl/>
              <w:jc w:val="center"/>
              <w:rPr>
                <w:rFonts w:ascii="仿宋_GB2312" w:eastAsia="仿宋_GB2312"/>
                <w:b/>
                <w:bCs/>
                <w:color w:val="000000"/>
                <w:kern w:val="0"/>
                <w:sz w:val="24"/>
              </w:rPr>
            </w:pPr>
            <w:r>
              <w:rPr>
                <w:rFonts w:hint="eastAsia" w:ascii="仿宋_GB2312" w:eastAsia="仿宋_GB2312"/>
                <w:b/>
                <w:bCs/>
                <w:color w:val="000000"/>
                <w:kern w:val="0"/>
                <w:sz w:val="24"/>
              </w:rPr>
              <w:t>市县</w:t>
            </w:r>
          </w:p>
        </w:tc>
        <w:tc>
          <w:tcPr>
            <w:tcW w:w="2295" w:type="dxa"/>
            <w:tcBorders>
              <w:top w:val="single" w:color="auto" w:sz="4" w:space="0"/>
              <w:left w:val="nil"/>
              <w:bottom w:val="single" w:color="auto" w:sz="4" w:space="0"/>
              <w:right w:val="single" w:color="auto" w:sz="4" w:space="0"/>
            </w:tcBorders>
            <w:vAlign w:val="center"/>
          </w:tcPr>
          <w:p>
            <w:pPr>
              <w:widowControl/>
              <w:jc w:val="center"/>
              <w:rPr>
                <w:rFonts w:ascii="仿宋_GB2312" w:eastAsia="仿宋_GB2312"/>
                <w:b/>
                <w:bCs/>
                <w:color w:val="000000"/>
                <w:kern w:val="0"/>
                <w:sz w:val="24"/>
              </w:rPr>
            </w:pPr>
            <w:r>
              <w:rPr>
                <w:rFonts w:hint="eastAsia" w:ascii="仿宋_GB2312" w:eastAsia="仿宋_GB2312"/>
                <w:b/>
                <w:bCs/>
                <w:color w:val="000000"/>
                <w:kern w:val="0"/>
                <w:sz w:val="24"/>
              </w:rPr>
              <w:t>参保人数</w:t>
            </w:r>
          </w:p>
        </w:tc>
      </w:tr>
      <w:tr>
        <w:tblPrEx>
          <w:tblLayout w:type="fixed"/>
          <w:tblCellMar>
            <w:top w:w="0" w:type="dxa"/>
            <w:left w:w="108" w:type="dxa"/>
            <w:bottom w:w="0" w:type="dxa"/>
            <w:right w:w="108" w:type="dxa"/>
          </w:tblCellMar>
        </w:tblPrEx>
        <w:trPr>
          <w:trHeight w:val="170" w:hRule="atLeast"/>
          <w:jc w:val="center"/>
        </w:trPr>
        <w:tc>
          <w:tcPr>
            <w:tcW w:w="22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eastAsia="仿宋_GB2312"/>
                <w:color w:val="000000"/>
                <w:kern w:val="0"/>
                <w:sz w:val="24"/>
              </w:rPr>
            </w:pPr>
            <w:r>
              <w:rPr>
                <w:rFonts w:hint="eastAsia" w:ascii="仿宋_GB2312" w:eastAsia="仿宋_GB2312"/>
                <w:color w:val="000000"/>
                <w:kern w:val="0"/>
                <w:sz w:val="24"/>
              </w:rPr>
              <w:t>银川市</w:t>
            </w:r>
          </w:p>
        </w:tc>
        <w:tc>
          <w:tcPr>
            <w:tcW w:w="2295" w:type="dxa"/>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ascii="仿宋_GB2312" w:eastAsia="仿宋_GB2312"/>
                <w:color w:val="000000"/>
                <w:kern w:val="0"/>
                <w:sz w:val="24"/>
                <w:szCs w:val="24"/>
              </w:rPr>
            </w:pPr>
            <w:r>
              <w:rPr>
                <w:rFonts w:hint="eastAsia" w:ascii="仿宋_GB2312" w:eastAsia="仿宋_GB2312"/>
                <w:color w:val="000000"/>
                <w:sz w:val="24"/>
                <w:szCs w:val="24"/>
              </w:rPr>
              <w:t>636130</w:t>
            </w:r>
          </w:p>
        </w:tc>
        <w:tc>
          <w:tcPr>
            <w:tcW w:w="2292" w:type="dxa"/>
            <w:tcBorders>
              <w:top w:val="single" w:color="auto" w:sz="4" w:space="0"/>
              <w:left w:val="nil"/>
              <w:bottom w:val="single" w:color="auto" w:sz="4" w:space="0"/>
              <w:right w:val="single" w:color="auto" w:sz="4" w:space="0"/>
            </w:tcBorders>
            <w:vAlign w:val="center"/>
          </w:tcPr>
          <w:p>
            <w:pPr>
              <w:widowControl/>
              <w:jc w:val="center"/>
              <w:rPr>
                <w:rFonts w:ascii="仿宋_GB2312" w:eastAsia="仿宋_GB2312"/>
                <w:kern w:val="0"/>
                <w:sz w:val="24"/>
                <w:szCs w:val="24"/>
              </w:rPr>
            </w:pPr>
            <w:r>
              <w:rPr>
                <w:rFonts w:hint="eastAsia" w:ascii="仿宋_GB2312" w:eastAsia="仿宋_GB2312"/>
                <w:kern w:val="0"/>
                <w:sz w:val="24"/>
                <w:szCs w:val="24"/>
              </w:rPr>
              <w:t>同心县</w:t>
            </w:r>
          </w:p>
        </w:tc>
        <w:tc>
          <w:tcPr>
            <w:tcW w:w="2295" w:type="dxa"/>
            <w:tcBorders>
              <w:top w:val="single" w:color="auto" w:sz="4" w:space="0"/>
              <w:left w:val="nil"/>
              <w:bottom w:val="single" w:color="auto" w:sz="4" w:space="0"/>
              <w:right w:val="single" w:color="auto" w:sz="4" w:space="0"/>
            </w:tcBorders>
          </w:tcPr>
          <w:p>
            <w:pPr>
              <w:widowControl/>
              <w:jc w:val="center"/>
              <w:rPr>
                <w:rFonts w:ascii="仿宋_GB2312" w:eastAsia="仿宋_GB2312"/>
                <w:color w:val="000000"/>
                <w:kern w:val="0"/>
                <w:sz w:val="24"/>
                <w:szCs w:val="24"/>
              </w:rPr>
            </w:pPr>
            <w:r>
              <w:rPr>
                <w:rFonts w:hint="eastAsia" w:ascii="仿宋_GB2312" w:eastAsia="仿宋_GB2312"/>
                <w:color w:val="000000"/>
                <w:sz w:val="24"/>
                <w:szCs w:val="24"/>
              </w:rPr>
              <w:t>27045</w:t>
            </w:r>
          </w:p>
        </w:tc>
      </w:tr>
      <w:tr>
        <w:tblPrEx>
          <w:tblLayout w:type="fixed"/>
          <w:tblCellMar>
            <w:top w:w="0" w:type="dxa"/>
            <w:left w:w="108" w:type="dxa"/>
            <w:bottom w:w="0" w:type="dxa"/>
            <w:right w:w="108" w:type="dxa"/>
          </w:tblCellMar>
        </w:tblPrEx>
        <w:trPr>
          <w:trHeight w:val="170" w:hRule="atLeast"/>
          <w:jc w:val="center"/>
        </w:trPr>
        <w:tc>
          <w:tcPr>
            <w:tcW w:w="22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eastAsia="仿宋_GB2312"/>
                <w:color w:val="000000"/>
                <w:kern w:val="0"/>
                <w:sz w:val="24"/>
              </w:rPr>
            </w:pPr>
            <w:r>
              <w:rPr>
                <w:rFonts w:hint="eastAsia" w:ascii="仿宋_GB2312" w:eastAsia="仿宋_GB2312"/>
                <w:color w:val="000000"/>
                <w:kern w:val="0"/>
                <w:sz w:val="24"/>
              </w:rPr>
              <w:t>永宁县</w:t>
            </w:r>
          </w:p>
        </w:tc>
        <w:tc>
          <w:tcPr>
            <w:tcW w:w="2295" w:type="dxa"/>
            <w:tcBorders>
              <w:top w:val="nil"/>
              <w:left w:val="single" w:color="auto" w:sz="4" w:space="0"/>
              <w:bottom w:val="single" w:color="auto" w:sz="4" w:space="0"/>
              <w:right w:val="single" w:color="auto" w:sz="4" w:space="0"/>
            </w:tcBorders>
            <w:shd w:val="clear" w:color="auto" w:fill="auto"/>
          </w:tcPr>
          <w:p>
            <w:pPr>
              <w:jc w:val="center"/>
              <w:rPr>
                <w:rFonts w:ascii="仿宋_GB2312" w:eastAsia="仿宋_GB2312"/>
                <w:color w:val="000000"/>
                <w:sz w:val="24"/>
                <w:szCs w:val="24"/>
              </w:rPr>
            </w:pPr>
            <w:r>
              <w:rPr>
                <w:rFonts w:hint="eastAsia" w:ascii="仿宋_GB2312" w:eastAsia="仿宋_GB2312"/>
                <w:color w:val="000000"/>
                <w:sz w:val="24"/>
                <w:szCs w:val="24"/>
              </w:rPr>
              <w:t>44113</w:t>
            </w:r>
          </w:p>
        </w:tc>
        <w:tc>
          <w:tcPr>
            <w:tcW w:w="2292" w:type="dxa"/>
            <w:tcBorders>
              <w:top w:val="single" w:color="auto" w:sz="4" w:space="0"/>
              <w:left w:val="nil"/>
              <w:bottom w:val="single" w:color="auto" w:sz="4" w:space="0"/>
              <w:right w:val="single" w:color="auto" w:sz="4" w:space="0"/>
            </w:tcBorders>
            <w:vAlign w:val="center"/>
          </w:tcPr>
          <w:p>
            <w:pPr>
              <w:widowControl/>
              <w:jc w:val="center"/>
              <w:rPr>
                <w:rFonts w:ascii="仿宋_GB2312" w:eastAsia="仿宋_GB2312"/>
                <w:kern w:val="0"/>
                <w:sz w:val="24"/>
                <w:szCs w:val="24"/>
              </w:rPr>
            </w:pPr>
            <w:r>
              <w:rPr>
                <w:rFonts w:hint="eastAsia" w:ascii="仿宋_GB2312" w:eastAsia="仿宋_GB2312"/>
                <w:kern w:val="0"/>
                <w:sz w:val="24"/>
                <w:szCs w:val="24"/>
              </w:rPr>
              <w:t>青铜峡市</w:t>
            </w:r>
          </w:p>
        </w:tc>
        <w:tc>
          <w:tcPr>
            <w:tcW w:w="2295" w:type="dxa"/>
            <w:tcBorders>
              <w:top w:val="single" w:color="auto" w:sz="4" w:space="0"/>
              <w:left w:val="nil"/>
              <w:bottom w:val="single" w:color="auto" w:sz="4" w:space="0"/>
              <w:right w:val="single" w:color="auto" w:sz="4" w:space="0"/>
            </w:tcBorders>
          </w:tcPr>
          <w:p>
            <w:pPr>
              <w:jc w:val="center"/>
              <w:rPr>
                <w:rFonts w:ascii="仿宋_GB2312" w:eastAsia="仿宋_GB2312"/>
                <w:color w:val="000000"/>
                <w:sz w:val="24"/>
                <w:szCs w:val="24"/>
              </w:rPr>
            </w:pPr>
            <w:r>
              <w:rPr>
                <w:rFonts w:hint="eastAsia" w:ascii="仿宋_GB2312" w:eastAsia="仿宋_GB2312"/>
                <w:color w:val="000000"/>
                <w:sz w:val="24"/>
                <w:szCs w:val="24"/>
              </w:rPr>
              <w:t>35461</w:t>
            </w:r>
          </w:p>
        </w:tc>
      </w:tr>
      <w:tr>
        <w:tblPrEx>
          <w:tblLayout w:type="fixed"/>
          <w:tblCellMar>
            <w:top w:w="0" w:type="dxa"/>
            <w:left w:w="108" w:type="dxa"/>
            <w:bottom w:w="0" w:type="dxa"/>
            <w:right w:w="108" w:type="dxa"/>
          </w:tblCellMar>
        </w:tblPrEx>
        <w:trPr>
          <w:trHeight w:val="170" w:hRule="atLeast"/>
          <w:jc w:val="center"/>
        </w:trPr>
        <w:tc>
          <w:tcPr>
            <w:tcW w:w="22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eastAsia="仿宋_GB2312"/>
                <w:color w:val="000000"/>
                <w:kern w:val="0"/>
                <w:sz w:val="24"/>
              </w:rPr>
            </w:pPr>
            <w:r>
              <w:rPr>
                <w:rFonts w:hint="eastAsia" w:ascii="仿宋_GB2312" w:eastAsia="仿宋_GB2312"/>
                <w:color w:val="000000"/>
                <w:kern w:val="0"/>
                <w:sz w:val="24"/>
              </w:rPr>
              <w:t>贺兰县</w:t>
            </w:r>
          </w:p>
        </w:tc>
        <w:tc>
          <w:tcPr>
            <w:tcW w:w="2295" w:type="dxa"/>
            <w:tcBorders>
              <w:top w:val="nil"/>
              <w:left w:val="single" w:color="auto" w:sz="4" w:space="0"/>
              <w:bottom w:val="single" w:color="auto" w:sz="4" w:space="0"/>
              <w:right w:val="single" w:color="auto" w:sz="4" w:space="0"/>
            </w:tcBorders>
            <w:shd w:val="clear" w:color="auto" w:fill="auto"/>
          </w:tcPr>
          <w:p>
            <w:pPr>
              <w:jc w:val="center"/>
              <w:rPr>
                <w:rFonts w:ascii="仿宋_GB2312" w:eastAsia="仿宋_GB2312"/>
                <w:color w:val="000000"/>
                <w:sz w:val="24"/>
                <w:szCs w:val="24"/>
              </w:rPr>
            </w:pPr>
            <w:r>
              <w:rPr>
                <w:rFonts w:hint="eastAsia" w:ascii="仿宋_GB2312" w:eastAsia="仿宋_GB2312"/>
                <w:color w:val="000000"/>
                <w:sz w:val="24"/>
                <w:szCs w:val="24"/>
              </w:rPr>
              <w:t>68304</w:t>
            </w:r>
          </w:p>
        </w:tc>
        <w:tc>
          <w:tcPr>
            <w:tcW w:w="2292" w:type="dxa"/>
            <w:tcBorders>
              <w:top w:val="single" w:color="auto" w:sz="4" w:space="0"/>
              <w:left w:val="nil"/>
              <w:bottom w:val="single" w:color="auto" w:sz="4" w:space="0"/>
              <w:right w:val="single" w:color="auto" w:sz="4" w:space="0"/>
            </w:tcBorders>
            <w:vAlign w:val="center"/>
          </w:tcPr>
          <w:p>
            <w:pPr>
              <w:widowControl/>
              <w:jc w:val="center"/>
              <w:rPr>
                <w:rFonts w:ascii="仿宋_GB2312" w:eastAsia="仿宋_GB2312"/>
                <w:kern w:val="0"/>
                <w:sz w:val="24"/>
                <w:szCs w:val="24"/>
              </w:rPr>
            </w:pPr>
            <w:r>
              <w:rPr>
                <w:rFonts w:hint="eastAsia" w:ascii="仿宋_GB2312" w:eastAsia="仿宋_GB2312"/>
                <w:kern w:val="0"/>
                <w:sz w:val="24"/>
                <w:szCs w:val="24"/>
              </w:rPr>
              <w:t>固原市</w:t>
            </w:r>
          </w:p>
        </w:tc>
        <w:tc>
          <w:tcPr>
            <w:tcW w:w="2295" w:type="dxa"/>
            <w:tcBorders>
              <w:top w:val="single" w:color="auto" w:sz="4" w:space="0"/>
              <w:left w:val="nil"/>
              <w:bottom w:val="single" w:color="auto" w:sz="4" w:space="0"/>
              <w:right w:val="single" w:color="auto" w:sz="4" w:space="0"/>
            </w:tcBorders>
          </w:tcPr>
          <w:p>
            <w:pPr>
              <w:jc w:val="center"/>
              <w:rPr>
                <w:rFonts w:ascii="仿宋_GB2312" w:eastAsia="仿宋_GB2312"/>
                <w:color w:val="000000"/>
                <w:sz w:val="24"/>
                <w:szCs w:val="24"/>
              </w:rPr>
            </w:pPr>
            <w:r>
              <w:rPr>
                <w:rFonts w:hint="eastAsia" w:ascii="仿宋_GB2312" w:eastAsia="仿宋_GB2312"/>
                <w:color w:val="000000"/>
                <w:sz w:val="24"/>
                <w:szCs w:val="24"/>
              </w:rPr>
              <w:t>60086</w:t>
            </w:r>
          </w:p>
        </w:tc>
      </w:tr>
      <w:tr>
        <w:tblPrEx>
          <w:tblLayout w:type="fixed"/>
          <w:tblCellMar>
            <w:top w:w="0" w:type="dxa"/>
            <w:left w:w="108" w:type="dxa"/>
            <w:bottom w:w="0" w:type="dxa"/>
            <w:right w:w="108" w:type="dxa"/>
          </w:tblCellMar>
        </w:tblPrEx>
        <w:trPr>
          <w:trHeight w:val="170" w:hRule="atLeast"/>
          <w:jc w:val="center"/>
        </w:trPr>
        <w:tc>
          <w:tcPr>
            <w:tcW w:w="22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eastAsia="仿宋_GB2312"/>
                <w:color w:val="000000"/>
                <w:kern w:val="0"/>
                <w:sz w:val="24"/>
              </w:rPr>
            </w:pPr>
            <w:r>
              <w:rPr>
                <w:rFonts w:hint="eastAsia" w:ascii="仿宋_GB2312" w:eastAsia="仿宋_GB2312"/>
                <w:color w:val="000000"/>
                <w:kern w:val="0"/>
                <w:sz w:val="24"/>
              </w:rPr>
              <w:t>宁东基地</w:t>
            </w:r>
          </w:p>
        </w:tc>
        <w:tc>
          <w:tcPr>
            <w:tcW w:w="2295" w:type="dxa"/>
            <w:tcBorders>
              <w:top w:val="nil"/>
              <w:left w:val="single" w:color="auto" w:sz="4" w:space="0"/>
              <w:bottom w:val="single" w:color="auto" w:sz="4" w:space="0"/>
              <w:right w:val="single" w:color="auto" w:sz="4" w:space="0"/>
            </w:tcBorders>
            <w:shd w:val="clear" w:color="auto" w:fill="auto"/>
          </w:tcPr>
          <w:p>
            <w:pPr>
              <w:jc w:val="center"/>
              <w:rPr>
                <w:rFonts w:ascii="仿宋_GB2312" w:eastAsia="仿宋_GB2312"/>
                <w:color w:val="000000"/>
                <w:sz w:val="24"/>
                <w:szCs w:val="24"/>
              </w:rPr>
            </w:pPr>
            <w:r>
              <w:rPr>
                <w:rFonts w:hint="eastAsia" w:ascii="仿宋_GB2312" w:eastAsia="仿宋_GB2312"/>
                <w:color w:val="000000"/>
                <w:sz w:val="24"/>
                <w:szCs w:val="24"/>
              </w:rPr>
              <w:t>45353</w:t>
            </w:r>
          </w:p>
        </w:tc>
        <w:tc>
          <w:tcPr>
            <w:tcW w:w="2292" w:type="dxa"/>
            <w:tcBorders>
              <w:top w:val="single" w:color="auto" w:sz="4" w:space="0"/>
              <w:left w:val="nil"/>
              <w:bottom w:val="single" w:color="auto" w:sz="4" w:space="0"/>
              <w:right w:val="single" w:color="auto" w:sz="4" w:space="0"/>
            </w:tcBorders>
            <w:vAlign w:val="center"/>
          </w:tcPr>
          <w:p>
            <w:pPr>
              <w:widowControl/>
              <w:jc w:val="center"/>
              <w:rPr>
                <w:rFonts w:ascii="仿宋_GB2312" w:eastAsia="仿宋_GB2312"/>
                <w:kern w:val="0"/>
                <w:sz w:val="24"/>
                <w:szCs w:val="24"/>
              </w:rPr>
            </w:pPr>
            <w:r>
              <w:rPr>
                <w:rFonts w:hint="eastAsia" w:ascii="仿宋_GB2312" w:eastAsia="仿宋_GB2312"/>
                <w:kern w:val="0"/>
                <w:sz w:val="24"/>
                <w:szCs w:val="24"/>
              </w:rPr>
              <w:t>西吉县</w:t>
            </w:r>
          </w:p>
        </w:tc>
        <w:tc>
          <w:tcPr>
            <w:tcW w:w="2295" w:type="dxa"/>
            <w:tcBorders>
              <w:top w:val="single" w:color="auto" w:sz="4" w:space="0"/>
              <w:left w:val="nil"/>
              <w:bottom w:val="single" w:color="auto" w:sz="4" w:space="0"/>
              <w:right w:val="single" w:color="auto" w:sz="4" w:space="0"/>
            </w:tcBorders>
          </w:tcPr>
          <w:p>
            <w:pPr>
              <w:jc w:val="center"/>
              <w:rPr>
                <w:rFonts w:ascii="仿宋_GB2312" w:eastAsia="仿宋_GB2312"/>
                <w:color w:val="000000"/>
                <w:sz w:val="24"/>
                <w:szCs w:val="24"/>
              </w:rPr>
            </w:pPr>
            <w:r>
              <w:rPr>
                <w:rFonts w:hint="eastAsia" w:ascii="仿宋_GB2312" w:eastAsia="仿宋_GB2312"/>
                <w:color w:val="000000"/>
                <w:sz w:val="24"/>
                <w:szCs w:val="24"/>
              </w:rPr>
              <w:t>22278</w:t>
            </w:r>
          </w:p>
        </w:tc>
      </w:tr>
      <w:tr>
        <w:tblPrEx>
          <w:tblLayout w:type="fixed"/>
          <w:tblCellMar>
            <w:top w:w="0" w:type="dxa"/>
            <w:left w:w="108" w:type="dxa"/>
            <w:bottom w:w="0" w:type="dxa"/>
            <w:right w:w="108" w:type="dxa"/>
          </w:tblCellMar>
        </w:tblPrEx>
        <w:trPr>
          <w:trHeight w:val="170" w:hRule="atLeast"/>
          <w:jc w:val="center"/>
        </w:trPr>
        <w:tc>
          <w:tcPr>
            <w:tcW w:w="22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eastAsia="仿宋_GB2312"/>
                <w:color w:val="000000"/>
                <w:kern w:val="0"/>
                <w:sz w:val="24"/>
              </w:rPr>
            </w:pPr>
            <w:r>
              <w:rPr>
                <w:rFonts w:hint="eastAsia" w:ascii="仿宋_GB2312" w:eastAsia="仿宋_GB2312"/>
                <w:color w:val="000000"/>
                <w:kern w:val="0"/>
                <w:sz w:val="24"/>
              </w:rPr>
              <w:t>灵武市</w:t>
            </w:r>
          </w:p>
        </w:tc>
        <w:tc>
          <w:tcPr>
            <w:tcW w:w="2295" w:type="dxa"/>
            <w:tcBorders>
              <w:top w:val="nil"/>
              <w:left w:val="single" w:color="auto" w:sz="4" w:space="0"/>
              <w:bottom w:val="single" w:color="auto" w:sz="4" w:space="0"/>
              <w:right w:val="single" w:color="auto" w:sz="4" w:space="0"/>
            </w:tcBorders>
            <w:shd w:val="clear" w:color="auto" w:fill="auto"/>
          </w:tcPr>
          <w:p>
            <w:pPr>
              <w:jc w:val="center"/>
              <w:rPr>
                <w:rFonts w:ascii="仿宋_GB2312" w:eastAsia="仿宋_GB2312"/>
                <w:color w:val="000000"/>
                <w:sz w:val="24"/>
                <w:szCs w:val="24"/>
              </w:rPr>
            </w:pPr>
            <w:r>
              <w:rPr>
                <w:rFonts w:hint="eastAsia" w:ascii="仿宋_GB2312" w:eastAsia="仿宋_GB2312"/>
                <w:color w:val="000000"/>
                <w:sz w:val="24"/>
                <w:szCs w:val="24"/>
              </w:rPr>
              <w:t>31053</w:t>
            </w:r>
          </w:p>
        </w:tc>
        <w:tc>
          <w:tcPr>
            <w:tcW w:w="2292" w:type="dxa"/>
            <w:tcBorders>
              <w:top w:val="single" w:color="auto" w:sz="4" w:space="0"/>
              <w:left w:val="nil"/>
              <w:bottom w:val="single" w:color="auto" w:sz="4" w:space="0"/>
              <w:right w:val="single" w:color="auto" w:sz="4" w:space="0"/>
            </w:tcBorders>
            <w:vAlign w:val="center"/>
          </w:tcPr>
          <w:p>
            <w:pPr>
              <w:widowControl/>
              <w:jc w:val="center"/>
              <w:rPr>
                <w:rFonts w:ascii="仿宋_GB2312" w:eastAsia="仿宋_GB2312"/>
                <w:kern w:val="0"/>
                <w:sz w:val="24"/>
                <w:szCs w:val="24"/>
              </w:rPr>
            </w:pPr>
            <w:r>
              <w:rPr>
                <w:rFonts w:hint="eastAsia" w:ascii="仿宋_GB2312" w:eastAsia="仿宋_GB2312"/>
                <w:kern w:val="0"/>
                <w:sz w:val="24"/>
                <w:szCs w:val="24"/>
              </w:rPr>
              <w:t>隆德县</w:t>
            </w:r>
          </w:p>
        </w:tc>
        <w:tc>
          <w:tcPr>
            <w:tcW w:w="2295" w:type="dxa"/>
            <w:tcBorders>
              <w:top w:val="single" w:color="auto" w:sz="4" w:space="0"/>
              <w:left w:val="nil"/>
              <w:bottom w:val="single" w:color="auto" w:sz="4" w:space="0"/>
              <w:right w:val="single" w:color="auto" w:sz="4" w:space="0"/>
            </w:tcBorders>
          </w:tcPr>
          <w:p>
            <w:pPr>
              <w:jc w:val="center"/>
              <w:rPr>
                <w:rFonts w:ascii="仿宋_GB2312" w:eastAsia="仿宋_GB2312"/>
                <w:color w:val="000000"/>
                <w:sz w:val="24"/>
                <w:szCs w:val="24"/>
              </w:rPr>
            </w:pPr>
            <w:r>
              <w:rPr>
                <w:rFonts w:hint="eastAsia" w:ascii="仿宋_GB2312" w:eastAsia="仿宋_GB2312"/>
                <w:color w:val="000000"/>
                <w:sz w:val="24"/>
                <w:szCs w:val="24"/>
              </w:rPr>
              <w:t>12822</w:t>
            </w:r>
          </w:p>
        </w:tc>
      </w:tr>
      <w:tr>
        <w:tblPrEx>
          <w:tblLayout w:type="fixed"/>
          <w:tblCellMar>
            <w:top w:w="0" w:type="dxa"/>
            <w:left w:w="108" w:type="dxa"/>
            <w:bottom w:w="0" w:type="dxa"/>
            <w:right w:w="108" w:type="dxa"/>
          </w:tblCellMar>
        </w:tblPrEx>
        <w:trPr>
          <w:trHeight w:val="170" w:hRule="atLeast"/>
          <w:jc w:val="center"/>
        </w:trPr>
        <w:tc>
          <w:tcPr>
            <w:tcW w:w="22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eastAsia="仿宋_GB2312"/>
                <w:color w:val="000000"/>
                <w:kern w:val="0"/>
                <w:sz w:val="24"/>
              </w:rPr>
            </w:pPr>
            <w:r>
              <w:rPr>
                <w:rFonts w:hint="eastAsia" w:ascii="仿宋_GB2312" w:eastAsia="仿宋_GB2312"/>
                <w:color w:val="000000"/>
                <w:kern w:val="0"/>
                <w:sz w:val="24"/>
              </w:rPr>
              <w:t>石嘴山市</w:t>
            </w:r>
          </w:p>
        </w:tc>
        <w:tc>
          <w:tcPr>
            <w:tcW w:w="2295" w:type="dxa"/>
            <w:tcBorders>
              <w:top w:val="nil"/>
              <w:left w:val="single" w:color="auto" w:sz="4" w:space="0"/>
              <w:bottom w:val="single" w:color="auto" w:sz="4" w:space="0"/>
              <w:right w:val="single" w:color="auto" w:sz="4" w:space="0"/>
            </w:tcBorders>
            <w:shd w:val="clear" w:color="auto" w:fill="auto"/>
          </w:tcPr>
          <w:p>
            <w:pPr>
              <w:jc w:val="center"/>
              <w:rPr>
                <w:rFonts w:ascii="仿宋_GB2312" w:eastAsia="仿宋_GB2312"/>
                <w:color w:val="000000"/>
                <w:sz w:val="24"/>
                <w:szCs w:val="24"/>
              </w:rPr>
            </w:pPr>
            <w:r>
              <w:rPr>
                <w:rFonts w:hint="eastAsia" w:ascii="仿宋_GB2312" w:eastAsia="仿宋_GB2312"/>
                <w:color w:val="000000"/>
                <w:sz w:val="24"/>
                <w:szCs w:val="24"/>
              </w:rPr>
              <w:t>106777</w:t>
            </w:r>
          </w:p>
        </w:tc>
        <w:tc>
          <w:tcPr>
            <w:tcW w:w="2292" w:type="dxa"/>
            <w:tcBorders>
              <w:top w:val="single" w:color="auto" w:sz="4" w:space="0"/>
              <w:left w:val="nil"/>
              <w:bottom w:val="single" w:color="auto" w:sz="4" w:space="0"/>
              <w:right w:val="single" w:color="auto" w:sz="4" w:space="0"/>
            </w:tcBorders>
            <w:vAlign w:val="center"/>
          </w:tcPr>
          <w:p>
            <w:pPr>
              <w:widowControl/>
              <w:jc w:val="center"/>
              <w:rPr>
                <w:rFonts w:ascii="仿宋_GB2312" w:eastAsia="仿宋_GB2312"/>
                <w:kern w:val="0"/>
                <w:sz w:val="24"/>
                <w:szCs w:val="24"/>
              </w:rPr>
            </w:pPr>
            <w:r>
              <w:rPr>
                <w:rFonts w:hint="eastAsia" w:ascii="仿宋_GB2312" w:eastAsia="仿宋_GB2312"/>
                <w:kern w:val="0"/>
                <w:sz w:val="24"/>
                <w:szCs w:val="24"/>
              </w:rPr>
              <w:t>泾源县</w:t>
            </w:r>
          </w:p>
        </w:tc>
        <w:tc>
          <w:tcPr>
            <w:tcW w:w="2295" w:type="dxa"/>
            <w:tcBorders>
              <w:top w:val="single" w:color="auto" w:sz="4" w:space="0"/>
              <w:left w:val="nil"/>
              <w:bottom w:val="single" w:color="auto" w:sz="4" w:space="0"/>
              <w:right w:val="single" w:color="auto" w:sz="4" w:space="0"/>
            </w:tcBorders>
          </w:tcPr>
          <w:p>
            <w:pPr>
              <w:jc w:val="center"/>
              <w:rPr>
                <w:rFonts w:ascii="仿宋_GB2312" w:eastAsia="仿宋_GB2312"/>
                <w:color w:val="000000"/>
                <w:sz w:val="24"/>
                <w:szCs w:val="24"/>
              </w:rPr>
            </w:pPr>
            <w:r>
              <w:rPr>
                <w:rFonts w:hint="eastAsia" w:ascii="仿宋_GB2312" w:eastAsia="仿宋_GB2312"/>
                <w:color w:val="000000"/>
                <w:sz w:val="24"/>
                <w:szCs w:val="24"/>
              </w:rPr>
              <w:t>8632</w:t>
            </w:r>
          </w:p>
        </w:tc>
      </w:tr>
      <w:tr>
        <w:tblPrEx>
          <w:tblLayout w:type="fixed"/>
          <w:tblCellMar>
            <w:top w:w="0" w:type="dxa"/>
            <w:left w:w="108" w:type="dxa"/>
            <w:bottom w:w="0" w:type="dxa"/>
            <w:right w:w="108" w:type="dxa"/>
          </w:tblCellMar>
        </w:tblPrEx>
        <w:trPr>
          <w:trHeight w:val="170" w:hRule="atLeast"/>
          <w:jc w:val="center"/>
        </w:trPr>
        <w:tc>
          <w:tcPr>
            <w:tcW w:w="22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eastAsia="仿宋_GB2312"/>
                <w:color w:val="000000"/>
                <w:kern w:val="0"/>
                <w:sz w:val="24"/>
              </w:rPr>
            </w:pPr>
            <w:r>
              <w:rPr>
                <w:rFonts w:hint="eastAsia" w:ascii="仿宋_GB2312" w:eastAsia="仿宋_GB2312"/>
                <w:color w:val="000000"/>
                <w:kern w:val="0"/>
                <w:sz w:val="24"/>
              </w:rPr>
              <w:t>平罗县</w:t>
            </w:r>
          </w:p>
        </w:tc>
        <w:tc>
          <w:tcPr>
            <w:tcW w:w="2295" w:type="dxa"/>
            <w:tcBorders>
              <w:top w:val="nil"/>
              <w:left w:val="single" w:color="auto" w:sz="4" w:space="0"/>
              <w:bottom w:val="single" w:color="auto" w:sz="4" w:space="0"/>
              <w:right w:val="single" w:color="auto" w:sz="4" w:space="0"/>
            </w:tcBorders>
            <w:shd w:val="clear" w:color="auto" w:fill="auto"/>
          </w:tcPr>
          <w:p>
            <w:pPr>
              <w:jc w:val="center"/>
              <w:rPr>
                <w:rFonts w:ascii="仿宋_GB2312" w:eastAsia="仿宋_GB2312"/>
                <w:color w:val="000000"/>
                <w:sz w:val="24"/>
                <w:szCs w:val="24"/>
              </w:rPr>
            </w:pPr>
            <w:r>
              <w:rPr>
                <w:rFonts w:hint="eastAsia" w:ascii="仿宋_GB2312" w:eastAsia="仿宋_GB2312"/>
                <w:color w:val="000000"/>
                <w:sz w:val="24"/>
                <w:szCs w:val="24"/>
              </w:rPr>
              <w:t>41425</w:t>
            </w:r>
          </w:p>
        </w:tc>
        <w:tc>
          <w:tcPr>
            <w:tcW w:w="2292" w:type="dxa"/>
            <w:tcBorders>
              <w:top w:val="single" w:color="auto" w:sz="4" w:space="0"/>
              <w:left w:val="nil"/>
              <w:bottom w:val="single" w:color="auto" w:sz="4" w:space="0"/>
              <w:right w:val="single" w:color="auto" w:sz="4" w:space="0"/>
            </w:tcBorders>
            <w:vAlign w:val="center"/>
          </w:tcPr>
          <w:p>
            <w:pPr>
              <w:widowControl/>
              <w:jc w:val="center"/>
              <w:rPr>
                <w:rFonts w:ascii="仿宋_GB2312" w:eastAsia="仿宋_GB2312"/>
                <w:kern w:val="0"/>
                <w:sz w:val="24"/>
                <w:szCs w:val="24"/>
              </w:rPr>
            </w:pPr>
            <w:r>
              <w:rPr>
                <w:rFonts w:hint="eastAsia" w:ascii="仿宋_GB2312" w:eastAsia="仿宋_GB2312"/>
                <w:kern w:val="0"/>
                <w:sz w:val="24"/>
                <w:szCs w:val="24"/>
              </w:rPr>
              <w:t>彭阳县</w:t>
            </w:r>
          </w:p>
        </w:tc>
        <w:tc>
          <w:tcPr>
            <w:tcW w:w="2295" w:type="dxa"/>
            <w:tcBorders>
              <w:top w:val="single" w:color="auto" w:sz="4" w:space="0"/>
              <w:left w:val="nil"/>
              <w:bottom w:val="single" w:color="auto" w:sz="4" w:space="0"/>
              <w:right w:val="single" w:color="auto" w:sz="4" w:space="0"/>
            </w:tcBorders>
          </w:tcPr>
          <w:p>
            <w:pPr>
              <w:jc w:val="center"/>
              <w:rPr>
                <w:rFonts w:ascii="仿宋_GB2312" w:eastAsia="仿宋_GB2312"/>
                <w:color w:val="000000"/>
                <w:sz w:val="24"/>
                <w:szCs w:val="24"/>
              </w:rPr>
            </w:pPr>
            <w:r>
              <w:rPr>
                <w:rFonts w:hint="eastAsia" w:ascii="仿宋_GB2312" w:eastAsia="仿宋_GB2312"/>
                <w:color w:val="000000"/>
                <w:sz w:val="24"/>
                <w:szCs w:val="24"/>
              </w:rPr>
              <w:t>15166</w:t>
            </w:r>
          </w:p>
        </w:tc>
      </w:tr>
      <w:tr>
        <w:tblPrEx>
          <w:tblLayout w:type="fixed"/>
          <w:tblCellMar>
            <w:top w:w="0" w:type="dxa"/>
            <w:left w:w="108" w:type="dxa"/>
            <w:bottom w:w="0" w:type="dxa"/>
            <w:right w:w="108" w:type="dxa"/>
          </w:tblCellMar>
        </w:tblPrEx>
        <w:trPr>
          <w:trHeight w:val="170" w:hRule="atLeast"/>
          <w:jc w:val="center"/>
        </w:trPr>
        <w:tc>
          <w:tcPr>
            <w:tcW w:w="22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eastAsia="仿宋_GB2312"/>
                <w:color w:val="000000"/>
                <w:kern w:val="0"/>
                <w:sz w:val="24"/>
              </w:rPr>
            </w:pPr>
            <w:r>
              <w:rPr>
                <w:rFonts w:hint="eastAsia" w:ascii="仿宋_GB2312" w:eastAsia="仿宋_GB2312"/>
                <w:color w:val="000000"/>
                <w:kern w:val="0"/>
                <w:sz w:val="24"/>
              </w:rPr>
              <w:t>吴忠市</w:t>
            </w:r>
          </w:p>
        </w:tc>
        <w:tc>
          <w:tcPr>
            <w:tcW w:w="2295" w:type="dxa"/>
            <w:tcBorders>
              <w:top w:val="nil"/>
              <w:left w:val="single" w:color="auto" w:sz="4" w:space="0"/>
              <w:bottom w:val="single" w:color="auto" w:sz="4" w:space="0"/>
              <w:right w:val="single" w:color="auto" w:sz="4" w:space="0"/>
            </w:tcBorders>
            <w:shd w:val="clear" w:color="auto" w:fill="auto"/>
          </w:tcPr>
          <w:p>
            <w:pPr>
              <w:jc w:val="center"/>
              <w:rPr>
                <w:rFonts w:ascii="仿宋_GB2312" w:eastAsia="仿宋_GB2312"/>
                <w:color w:val="000000"/>
                <w:sz w:val="24"/>
                <w:szCs w:val="24"/>
              </w:rPr>
            </w:pPr>
            <w:r>
              <w:rPr>
                <w:rFonts w:hint="eastAsia" w:ascii="仿宋_GB2312" w:eastAsia="仿宋_GB2312"/>
                <w:color w:val="000000"/>
                <w:sz w:val="24"/>
                <w:szCs w:val="24"/>
              </w:rPr>
              <w:t>85757</w:t>
            </w:r>
          </w:p>
        </w:tc>
        <w:tc>
          <w:tcPr>
            <w:tcW w:w="2292" w:type="dxa"/>
            <w:tcBorders>
              <w:top w:val="single" w:color="auto" w:sz="4" w:space="0"/>
              <w:left w:val="nil"/>
              <w:bottom w:val="single" w:color="auto" w:sz="4" w:space="0"/>
              <w:right w:val="single" w:color="auto" w:sz="4" w:space="0"/>
            </w:tcBorders>
            <w:vAlign w:val="center"/>
          </w:tcPr>
          <w:p>
            <w:pPr>
              <w:widowControl/>
              <w:jc w:val="center"/>
              <w:rPr>
                <w:rFonts w:ascii="仿宋_GB2312" w:eastAsia="仿宋_GB2312"/>
                <w:kern w:val="0"/>
                <w:sz w:val="24"/>
                <w:szCs w:val="24"/>
              </w:rPr>
            </w:pPr>
            <w:r>
              <w:rPr>
                <w:rFonts w:hint="eastAsia" w:ascii="仿宋_GB2312" w:eastAsia="仿宋_GB2312"/>
                <w:kern w:val="0"/>
                <w:sz w:val="24"/>
                <w:szCs w:val="24"/>
              </w:rPr>
              <w:t>中卫市</w:t>
            </w:r>
          </w:p>
        </w:tc>
        <w:tc>
          <w:tcPr>
            <w:tcW w:w="2295" w:type="dxa"/>
            <w:tcBorders>
              <w:top w:val="single" w:color="auto" w:sz="4" w:space="0"/>
              <w:left w:val="nil"/>
              <w:bottom w:val="single" w:color="auto" w:sz="4" w:space="0"/>
              <w:right w:val="single" w:color="auto" w:sz="4" w:space="0"/>
            </w:tcBorders>
          </w:tcPr>
          <w:p>
            <w:pPr>
              <w:jc w:val="center"/>
              <w:rPr>
                <w:rFonts w:ascii="仿宋_GB2312" w:eastAsia="仿宋_GB2312"/>
                <w:color w:val="000000"/>
                <w:sz w:val="24"/>
                <w:szCs w:val="24"/>
              </w:rPr>
            </w:pPr>
            <w:r>
              <w:rPr>
                <w:rFonts w:hint="eastAsia" w:ascii="仿宋_GB2312" w:eastAsia="仿宋_GB2312"/>
                <w:color w:val="000000"/>
                <w:sz w:val="24"/>
                <w:szCs w:val="24"/>
              </w:rPr>
              <w:t>86879</w:t>
            </w:r>
          </w:p>
        </w:tc>
      </w:tr>
      <w:tr>
        <w:tblPrEx>
          <w:tblLayout w:type="fixed"/>
          <w:tblCellMar>
            <w:top w:w="0" w:type="dxa"/>
            <w:left w:w="108" w:type="dxa"/>
            <w:bottom w:w="0" w:type="dxa"/>
            <w:right w:w="108" w:type="dxa"/>
          </w:tblCellMar>
        </w:tblPrEx>
        <w:trPr>
          <w:trHeight w:val="170" w:hRule="atLeast"/>
          <w:jc w:val="center"/>
        </w:trPr>
        <w:tc>
          <w:tcPr>
            <w:tcW w:w="22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eastAsia="仿宋_GB2312"/>
                <w:color w:val="000000"/>
                <w:kern w:val="0"/>
                <w:sz w:val="24"/>
              </w:rPr>
            </w:pPr>
            <w:r>
              <w:rPr>
                <w:rFonts w:hint="eastAsia" w:ascii="仿宋_GB2312" w:eastAsia="仿宋_GB2312"/>
                <w:color w:val="000000"/>
                <w:kern w:val="0"/>
                <w:sz w:val="24"/>
              </w:rPr>
              <w:t>红寺堡区</w:t>
            </w:r>
          </w:p>
        </w:tc>
        <w:tc>
          <w:tcPr>
            <w:tcW w:w="2295" w:type="dxa"/>
            <w:tcBorders>
              <w:top w:val="nil"/>
              <w:left w:val="single" w:color="auto" w:sz="4" w:space="0"/>
              <w:bottom w:val="single" w:color="auto" w:sz="4" w:space="0"/>
              <w:right w:val="single" w:color="auto" w:sz="4" w:space="0"/>
            </w:tcBorders>
            <w:shd w:val="clear" w:color="auto" w:fill="auto"/>
          </w:tcPr>
          <w:p>
            <w:pPr>
              <w:jc w:val="center"/>
              <w:rPr>
                <w:rFonts w:ascii="仿宋_GB2312" w:eastAsia="仿宋_GB2312"/>
                <w:color w:val="000000"/>
                <w:sz w:val="24"/>
                <w:szCs w:val="24"/>
              </w:rPr>
            </w:pPr>
            <w:r>
              <w:rPr>
                <w:rFonts w:hint="eastAsia" w:ascii="仿宋_GB2312" w:eastAsia="仿宋_GB2312"/>
                <w:color w:val="000000"/>
                <w:sz w:val="24"/>
                <w:szCs w:val="24"/>
              </w:rPr>
              <w:t>14523</w:t>
            </w:r>
          </w:p>
        </w:tc>
        <w:tc>
          <w:tcPr>
            <w:tcW w:w="2292" w:type="dxa"/>
            <w:tcBorders>
              <w:top w:val="single" w:color="auto" w:sz="4" w:space="0"/>
              <w:left w:val="nil"/>
              <w:bottom w:val="single" w:color="auto" w:sz="4" w:space="0"/>
              <w:right w:val="single" w:color="auto" w:sz="4" w:space="0"/>
            </w:tcBorders>
            <w:vAlign w:val="center"/>
          </w:tcPr>
          <w:p>
            <w:pPr>
              <w:widowControl/>
              <w:jc w:val="center"/>
              <w:rPr>
                <w:rFonts w:ascii="仿宋_GB2312" w:eastAsia="仿宋_GB2312"/>
                <w:kern w:val="0"/>
                <w:sz w:val="24"/>
                <w:szCs w:val="24"/>
              </w:rPr>
            </w:pPr>
            <w:r>
              <w:rPr>
                <w:rFonts w:hint="eastAsia" w:ascii="仿宋_GB2312" w:eastAsia="仿宋_GB2312"/>
                <w:kern w:val="0"/>
                <w:sz w:val="24"/>
                <w:szCs w:val="24"/>
              </w:rPr>
              <w:t>中宁县</w:t>
            </w:r>
          </w:p>
        </w:tc>
        <w:tc>
          <w:tcPr>
            <w:tcW w:w="2295" w:type="dxa"/>
            <w:tcBorders>
              <w:top w:val="single" w:color="auto" w:sz="4" w:space="0"/>
              <w:left w:val="nil"/>
              <w:bottom w:val="single" w:color="auto" w:sz="4" w:space="0"/>
              <w:right w:val="single" w:color="auto" w:sz="4" w:space="0"/>
            </w:tcBorders>
          </w:tcPr>
          <w:p>
            <w:pPr>
              <w:jc w:val="center"/>
              <w:rPr>
                <w:rFonts w:ascii="仿宋_GB2312" w:eastAsia="仿宋_GB2312"/>
                <w:color w:val="000000"/>
                <w:sz w:val="24"/>
                <w:szCs w:val="24"/>
              </w:rPr>
            </w:pPr>
            <w:r>
              <w:rPr>
                <w:rFonts w:hint="eastAsia" w:ascii="仿宋_GB2312" w:eastAsia="仿宋_GB2312"/>
                <w:color w:val="000000"/>
                <w:sz w:val="24"/>
                <w:szCs w:val="24"/>
              </w:rPr>
              <w:t>52868</w:t>
            </w:r>
          </w:p>
        </w:tc>
      </w:tr>
      <w:tr>
        <w:tblPrEx>
          <w:tblLayout w:type="fixed"/>
          <w:tblCellMar>
            <w:top w:w="0" w:type="dxa"/>
            <w:left w:w="108" w:type="dxa"/>
            <w:bottom w:w="0" w:type="dxa"/>
            <w:right w:w="108" w:type="dxa"/>
          </w:tblCellMar>
        </w:tblPrEx>
        <w:trPr>
          <w:trHeight w:val="170" w:hRule="atLeast"/>
          <w:jc w:val="center"/>
        </w:trPr>
        <w:tc>
          <w:tcPr>
            <w:tcW w:w="22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eastAsia="仿宋_GB2312"/>
                <w:color w:val="000000"/>
                <w:kern w:val="0"/>
                <w:sz w:val="24"/>
              </w:rPr>
            </w:pPr>
            <w:r>
              <w:rPr>
                <w:rFonts w:hint="eastAsia" w:ascii="仿宋_GB2312" w:eastAsia="仿宋_GB2312"/>
                <w:color w:val="000000"/>
                <w:kern w:val="0"/>
                <w:sz w:val="24"/>
              </w:rPr>
              <w:t>盐池县</w:t>
            </w:r>
          </w:p>
        </w:tc>
        <w:tc>
          <w:tcPr>
            <w:tcW w:w="2295" w:type="dxa"/>
            <w:tcBorders>
              <w:top w:val="nil"/>
              <w:left w:val="single" w:color="auto" w:sz="4" w:space="0"/>
              <w:bottom w:val="single" w:color="auto" w:sz="4" w:space="0"/>
              <w:right w:val="single" w:color="auto" w:sz="4" w:space="0"/>
            </w:tcBorders>
            <w:shd w:val="clear" w:color="auto" w:fill="auto"/>
          </w:tcPr>
          <w:p>
            <w:pPr>
              <w:jc w:val="center"/>
              <w:rPr>
                <w:rFonts w:ascii="仿宋_GB2312" w:eastAsia="仿宋_GB2312"/>
                <w:color w:val="000000"/>
                <w:sz w:val="24"/>
                <w:szCs w:val="24"/>
              </w:rPr>
            </w:pPr>
            <w:r>
              <w:rPr>
                <w:rFonts w:hint="eastAsia" w:ascii="仿宋_GB2312" w:eastAsia="仿宋_GB2312"/>
                <w:color w:val="000000"/>
                <w:sz w:val="24"/>
                <w:szCs w:val="24"/>
              </w:rPr>
              <w:t>21305</w:t>
            </w:r>
          </w:p>
        </w:tc>
        <w:tc>
          <w:tcPr>
            <w:tcW w:w="2292" w:type="dxa"/>
            <w:tcBorders>
              <w:top w:val="single" w:color="auto" w:sz="4" w:space="0"/>
              <w:left w:val="nil"/>
              <w:bottom w:val="single" w:color="auto" w:sz="4" w:space="0"/>
              <w:right w:val="single" w:color="auto" w:sz="4" w:space="0"/>
            </w:tcBorders>
            <w:vAlign w:val="center"/>
          </w:tcPr>
          <w:p>
            <w:pPr>
              <w:widowControl/>
              <w:jc w:val="center"/>
              <w:rPr>
                <w:rFonts w:ascii="仿宋_GB2312" w:eastAsia="仿宋_GB2312"/>
                <w:kern w:val="0"/>
                <w:sz w:val="24"/>
                <w:szCs w:val="24"/>
              </w:rPr>
            </w:pPr>
            <w:r>
              <w:rPr>
                <w:rFonts w:hint="eastAsia" w:ascii="仿宋_GB2312" w:eastAsia="仿宋_GB2312"/>
                <w:kern w:val="0"/>
                <w:sz w:val="24"/>
                <w:szCs w:val="24"/>
              </w:rPr>
              <w:t>海原县</w:t>
            </w:r>
          </w:p>
        </w:tc>
        <w:tc>
          <w:tcPr>
            <w:tcW w:w="2295" w:type="dxa"/>
            <w:tcBorders>
              <w:top w:val="single" w:color="auto" w:sz="4" w:space="0"/>
              <w:left w:val="nil"/>
              <w:bottom w:val="single" w:color="auto" w:sz="4" w:space="0"/>
              <w:right w:val="single" w:color="auto" w:sz="4" w:space="0"/>
            </w:tcBorders>
          </w:tcPr>
          <w:p>
            <w:pPr>
              <w:jc w:val="center"/>
              <w:rPr>
                <w:rFonts w:ascii="仿宋_GB2312" w:eastAsia="仿宋_GB2312"/>
                <w:color w:val="000000"/>
                <w:sz w:val="24"/>
                <w:szCs w:val="24"/>
              </w:rPr>
            </w:pPr>
            <w:r>
              <w:rPr>
                <w:rFonts w:hint="eastAsia" w:ascii="仿宋_GB2312" w:eastAsia="仿宋_GB2312"/>
                <w:color w:val="000000"/>
                <w:sz w:val="24"/>
                <w:szCs w:val="24"/>
              </w:rPr>
              <w:t>21972</w:t>
            </w:r>
          </w:p>
        </w:tc>
      </w:tr>
      <w:tr>
        <w:tblPrEx>
          <w:tblLayout w:type="fixed"/>
          <w:tblCellMar>
            <w:top w:w="0" w:type="dxa"/>
            <w:left w:w="108" w:type="dxa"/>
            <w:bottom w:w="0" w:type="dxa"/>
            <w:right w:w="108" w:type="dxa"/>
          </w:tblCellMar>
        </w:tblPrEx>
        <w:trPr>
          <w:trHeight w:val="170" w:hRule="atLeast"/>
          <w:jc w:val="center"/>
        </w:trPr>
        <w:tc>
          <w:tcPr>
            <w:tcW w:w="22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eastAsia="仿宋_GB2312"/>
                <w:color w:val="000000"/>
                <w:kern w:val="0"/>
                <w:sz w:val="24"/>
              </w:rPr>
            </w:pPr>
            <w:r>
              <w:rPr>
                <w:rFonts w:hint="eastAsia" w:ascii="仿宋_GB2312" w:eastAsia="仿宋_GB2312"/>
                <w:color w:val="000000"/>
                <w:kern w:val="0"/>
                <w:sz w:val="24"/>
              </w:rPr>
              <w:t>全区</w:t>
            </w:r>
          </w:p>
        </w:tc>
        <w:tc>
          <w:tcPr>
            <w:tcW w:w="6882" w:type="dxa"/>
            <w:gridSpan w:val="3"/>
            <w:tcBorders>
              <w:top w:val="single" w:color="auto" w:sz="4" w:space="0"/>
              <w:left w:val="nil"/>
              <w:bottom w:val="single" w:color="auto" w:sz="4" w:space="0"/>
              <w:right w:val="single" w:color="auto" w:sz="4" w:space="0"/>
            </w:tcBorders>
            <w:vAlign w:val="center"/>
          </w:tcPr>
          <w:p>
            <w:pPr>
              <w:widowControl/>
              <w:jc w:val="center"/>
              <w:rPr>
                <w:rFonts w:ascii="仿宋_GB2312" w:eastAsia="仿宋_GB2312"/>
                <w:color w:val="000000"/>
                <w:kern w:val="0"/>
                <w:sz w:val="24"/>
                <w:szCs w:val="24"/>
              </w:rPr>
            </w:pPr>
            <w:r>
              <w:rPr>
                <w:rFonts w:hint="eastAsia" w:ascii="仿宋_GB2312" w:eastAsia="仿宋_GB2312"/>
                <w:color w:val="000000"/>
                <w:sz w:val="24"/>
                <w:szCs w:val="24"/>
              </w:rPr>
              <w:t>1437949</w:t>
            </w:r>
          </w:p>
        </w:tc>
      </w:tr>
    </w:tbl>
    <w:p>
      <w:pPr>
        <w:spacing w:line="560" w:lineRule="exact"/>
        <w:ind w:firstLine="643" w:firstLineChars="200"/>
        <w:rPr>
          <w:rFonts w:ascii="楷体_GB2312" w:eastAsia="楷体_GB2312"/>
          <w:b/>
          <w:sz w:val="32"/>
          <w:szCs w:val="32"/>
        </w:rPr>
      </w:pPr>
      <w:r>
        <w:rPr>
          <w:rFonts w:hint="eastAsia" w:ascii="楷体_GB2312" w:eastAsia="楷体_GB2312"/>
          <w:b/>
          <w:sz w:val="32"/>
          <w:szCs w:val="32"/>
        </w:rPr>
        <w:t>（一）按单位性质划分，参保人员构成情况</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1.企业单位：</w:t>
      </w:r>
      <w:r>
        <w:rPr>
          <w:rFonts w:hint="eastAsia" w:ascii="仿宋_GB2312" w:eastAsia="仿宋_GB2312"/>
          <w:sz w:val="32"/>
          <w:szCs w:val="32"/>
        </w:rPr>
        <w:t>参保114.03万人，占参保总人数的79.3%，比上年增加11.14万人，增长10.83%;比2017年增加51.11万人，年平均增长16.03%。</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2.事业单位：</w:t>
      </w:r>
      <w:r>
        <w:rPr>
          <w:rFonts w:hint="eastAsia" w:ascii="仿宋_GB2312" w:eastAsia="仿宋_GB2312"/>
          <w:sz w:val="32"/>
          <w:szCs w:val="32"/>
        </w:rPr>
        <w:t>参保19.86万人，占参保总人数的13.81%%，比上年减少0.16万人，降低了0.8%;比2017年增加0.74万人，年平均增长0.96%。</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3.有雇工的个体工商户：</w:t>
      </w:r>
      <w:r>
        <w:rPr>
          <w:rFonts w:hint="eastAsia" w:ascii="仿宋_GB2312" w:eastAsia="仿宋_GB2312"/>
          <w:sz w:val="32"/>
          <w:szCs w:val="32"/>
        </w:rPr>
        <w:t>参保8213人，占参保总人数的0.57%，比上年增加1496人,增加22.27%;比2017年增加239人，年平均增长3%。</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4.机关单位和参公管理的事业单位：</w:t>
      </w:r>
      <w:r>
        <w:rPr>
          <w:rFonts w:hint="eastAsia" w:ascii="仿宋_GB2312" w:eastAsia="仿宋_GB2312"/>
          <w:sz w:val="32"/>
          <w:szCs w:val="32"/>
        </w:rPr>
        <w:t>参保9.09万人，占参保总人数的6.32%，比上年增加0.1万人，增长1.15%;比2017年增加1.57万人，年平均增长4.87%。</w:t>
      </w:r>
    </w:p>
    <w:p>
      <w:pPr>
        <w:jc w:val="center"/>
        <w:rPr>
          <w:rFonts w:ascii="仿宋_GB2312" w:eastAsia="仿宋_GB2312"/>
          <w:sz w:val="32"/>
          <w:szCs w:val="32"/>
        </w:rPr>
      </w:pPr>
      <w:r>
        <w:rPr>
          <w:rFonts w:hint="eastAsia" w:ascii="仿宋_GB2312" w:eastAsia="仿宋_GB2312"/>
          <w:sz w:val="32"/>
          <w:szCs w:val="32"/>
        </w:rPr>
        <w:drawing>
          <wp:inline distT="0" distB="0" distL="0" distR="0">
            <wp:extent cx="4584700" cy="2755900"/>
            <wp:effectExtent l="19050" t="19050" r="25400" b="2540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584700" cy="2755900"/>
                    </a:xfrm>
                    <a:prstGeom prst="rect">
                      <a:avLst/>
                    </a:prstGeom>
                    <a:noFill/>
                    <a:ln w="9525">
                      <a:solidFill>
                        <a:schemeClr val="tx1"/>
                      </a:solidFill>
                    </a:ln>
                  </pic:spPr>
                </pic:pic>
              </a:graphicData>
            </a:graphic>
          </wp:inline>
        </w:drawing>
      </w:r>
    </w:p>
    <w:p>
      <w:pPr>
        <w:spacing w:line="560" w:lineRule="exact"/>
        <w:jc w:val="center"/>
        <w:rPr>
          <w:rFonts w:ascii="仿宋_GB2312" w:eastAsia="仿宋_GB2312"/>
          <w:sz w:val="28"/>
          <w:szCs w:val="28"/>
        </w:rPr>
      </w:pPr>
      <w:r>
        <w:rPr>
          <w:rFonts w:hint="eastAsia" w:ascii="仿宋_GB2312" w:eastAsia="仿宋_GB2312"/>
          <w:sz w:val="28"/>
          <w:szCs w:val="28"/>
        </w:rPr>
        <w:t>图2-2：参保人员构成情况图（按单位类型）</w:t>
      </w:r>
    </w:p>
    <w:p>
      <w:pPr>
        <w:spacing w:line="560" w:lineRule="exact"/>
        <w:ind w:firstLine="643" w:firstLineChars="200"/>
        <w:rPr>
          <w:rFonts w:ascii="楷体_GB2312" w:eastAsia="楷体_GB2312"/>
          <w:b/>
          <w:sz w:val="32"/>
          <w:szCs w:val="32"/>
        </w:rPr>
      </w:pPr>
      <w:r>
        <w:rPr>
          <w:rFonts w:hint="eastAsia" w:ascii="楷体_GB2312" w:eastAsia="楷体_GB2312"/>
          <w:b/>
          <w:sz w:val="32"/>
          <w:szCs w:val="32"/>
        </w:rPr>
        <w:t>（二）按不同行业的工伤风险类别划分</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一类风险行业24.08万人，占16.75%；二类风险行业33.39万人，占23.22%；三类风险行业5.53万人，占3.84%；四类风险行业15.05万人，占10.46%；五类风险行业23.53万人，占16.36%；六类风险行业34.3万人，占23.85%；七类风险行业2.01万人，占1.4%；八类风险行业5.91万人，占4.11%。</w:t>
      </w:r>
    </w:p>
    <w:p>
      <w:pPr>
        <w:jc w:val="center"/>
        <w:rPr>
          <w:rFonts w:ascii="仿宋_GB2312" w:eastAsia="仿宋_GB2312"/>
          <w:sz w:val="30"/>
          <w:szCs w:val="30"/>
        </w:rPr>
      </w:pPr>
      <w:r>
        <w:rPr>
          <w:rFonts w:hint="eastAsia" w:ascii="仿宋_GB2312" w:eastAsia="仿宋_GB2312"/>
          <w:sz w:val="32"/>
          <w:szCs w:val="32"/>
        </w:rPr>
        <w:drawing>
          <wp:inline distT="0" distB="0" distL="0" distR="0">
            <wp:extent cx="5383530" cy="2362200"/>
            <wp:effectExtent l="19050" t="19050" r="26670" b="1905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394556" cy="2367648"/>
                    </a:xfrm>
                    <a:prstGeom prst="rect">
                      <a:avLst/>
                    </a:prstGeom>
                    <a:noFill/>
                    <a:ln w="9525">
                      <a:solidFill>
                        <a:schemeClr val="tx1"/>
                      </a:solid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图2-3：参保人员构成情况图（按风险行业类别）</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二、基金收支情况</w:t>
      </w:r>
    </w:p>
    <w:p>
      <w:pPr>
        <w:spacing w:line="560" w:lineRule="exact"/>
        <w:ind w:firstLine="0" w:firstLineChars="0"/>
        <w:rPr>
          <w:rFonts w:ascii="仿宋_GB2312" w:eastAsia="仿宋_GB2312"/>
          <w:sz w:val="32"/>
          <w:szCs w:val="32"/>
        </w:rPr>
      </w:pPr>
      <w:r>
        <w:rPr>
          <w:rFonts w:hint="eastAsia" w:ascii="楷体_GB2312" w:eastAsia="楷体_GB2312"/>
          <w:b/>
          <w:sz w:val="32"/>
          <w:szCs w:val="32"/>
        </w:rPr>
        <w:t>（一）基金收入情况。</w:t>
      </w:r>
      <w:r>
        <w:rPr>
          <w:rFonts w:hint="eastAsia" w:ascii="仿宋_GB2312" w:eastAsia="仿宋_GB2312"/>
          <w:sz w:val="32"/>
          <w:szCs w:val="32"/>
        </w:rPr>
        <w:t>2021年工伤保险基金收入4.84亿元（不含上级补助收入、下级上解收入，下同），比上年增加2.20亿元，增长83.33%;比2017年减少0.59亿元，年平均降低2.83%。工伤保险基金收入中，征缴收入4.45亿元，比上年增加2.05亿元，增长85.42%。</w:t>
      </w:r>
    </w:p>
    <w:p>
      <w:pPr>
        <w:spacing w:line="560" w:lineRule="exact"/>
        <w:ind w:firstLine="0" w:firstLineChars="0"/>
        <w:rPr>
          <w:rFonts w:ascii="仿宋_GB2312" w:eastAsia="仿宋_GB2312"/>
          <w:sz w:val="32"/>
          <w:szCs w:val="32"/>
        </w:rPr>
      </w:pPr>
      <w:r>
        <w:rPr>
          <w:rFonts w:hint="eastAsia" w:ascii="楷体_GB2312" w:eastAsia="楷体_GB2312"/>
          <w:b/>
          <w:sz w:val="32"/>
          <w:szCs w:val="32"/>
        </w:rPr>
        <w:t>（二）基金支出情况。</w:t>
      </w:r>
      <w:r>
        <w:rPr>
          <w:rFonts w:hint="eastAsia" w:ascii="仿宋_GB2312" w:eastAsia="仿宋_GB2312"/>
          <w:sz w:val="32"/>
          <w:szCs w:val="32"/>
        </w:rPr>
        <w:t>2021年工伤保险基金支出5.05亿元（不含补助下级支出、上解上级支出，下同），比上年减少0.02亿元，降低0.39%；比2017年增加0.65亿元，年平均增长3.50%。工伤保险基金支出中，工伤保险待遇支出5.04亿元，比上年减少0.03亿元，降低0.59%。</w:t>
      </w:r>
    </w:p>
    <w:p>
      <w:pPr>
        <w:spacing w:line="600" w:lineRule="exact"/>
        <w:ind w:firstLine="643" w:firstLineChars="200"/>
        <w:rPr>
          <w:rFonts w:ascii="仿宋_GB2312" w:eastAsia="仿宋_GB2312"/>
          <w:sz w:val="32"/>
          <w:szCs w:val="32"/>
        </w:rPr>
      </w:pPr>
      <w:r>
        <w:rPr>
          <w:rFonts w:hint="eastAsia" w:ascii="楷体_GB2312" w:eastAsia="楷体_GB2312"/>
          <w:b/>
          <w:sz w:val="32"/>
          <w:szCs w:val="32"/>
        </w:rPr>
        <w:t>（三）基金结存情况。</w:t>
      </w:r>
      <w:r>
        <w:rPr>
          <w:rFonts w:hint="eastAsia" w:ascii="仿宋_GB2312" w:eastAsia="仿宋_GB2312"/>
          <w:sz w:val="32"/>
          <w:szCs w:val="32"/>
        </w:rPr>
        <w:t>2021年工伤保险基金累计结存9.01亿元，比上年减少0.20亿元，降低2.17%；比2017年减少1.64亿元，年平均降低4.09%。</w:t>
      </w:r>
    </w:p>
    <w:p>
      <w:pPr>
        <w:ind w:firstLine="640" w:firstLineChars="200"/>
        <w:rPr>
          <w:rFonts w:ascii="仿宋_GB2312" w:eastAsia="仿宋_GB2312"/>
          <w:sz w:val="32"/>
          <w:szCs w:val="32"/>
        </w:rPr>
      </w:pPr>
      <w:r>
        <w:rPr>
          <w:rFonts w:hint="eastAsia" w:ascii="仿宋_GB2312" w:eastAsia="仿宋_GB2312"/>
          <w:sz w:val="32"/>
          <w:szCs w:val="32"/>
        </w:rPr>
        <w:drawing>
          <wp:inline distT="0" distB="0" distL="0" distR="0">
            <wp:extent cx="5139690" cy="3011805"/>
            <wp:effectExtent l="19050" t="19050" r="22860" b="1714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139690" cy="3011805"/>
                    </a:xfrm>
                    <a:prstGeom prst="rect">
                      <a:avLst/>
                    </a:prstGeom>
                    <a:noFill/>
                    <a:ln w="9525">
                      <a:solidFill>
                        <a:schemeClr val="tx1"/>
                      </a:solid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图2-4：2017年-2021年工伤保险基金收支余情况</w:t>
      </w:r>
    </w:p>
    <w:p>
      <w:pPr>
        <w:autoSpaceDE w:val="0"/>
        <w:autoSpaceDN w:val="0"/>
        <w:adjustRightInd w:val="0"/>
        <w:snapToGrid w:val="0"/>
        <w:jc w:val="center"/>
        <w:rPr>
          <w:rFonts w:ascii="仿宋_GB2312" w:eastAsia="仿宋_GB2312"/>
          <w:sz w:val="30"/>
          <w:szCs w:val="30"/>
        </w:rPr>
      </w:pPr>
      <w:r>
        <w:rPr>
          <w:rFonts w:hint="eastAsia" w:ascii="仿宋_GB2312" w:eastAsia="仿宋_GB2312"/>
          <w:sz w:val="28"/>
          <w:szCs w:val="28"/>
        </w:rPr>
        <w:t>表2-2  2021年分市县工伤保险基金收支余及分布情况表</w:t>
      </w:r>
      <w:r>
        <w:rPr>
          <w:rFonts w:hint="eastAsia" w:ascii="仿宋_GB2312" w:eastAsia="仿宋_GB2312"/>
          <w:sz w:val="30"/>
          <w:szCs w:val="30"/>
        </w:rPr>
        <w:drawing>
          <wp:inline distT="0" distB="0" distL="0" distR="0">
            <wp:extent cx="5266055" cy="366522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269316" cy="3667581"/>
                    </a:xfrm>
                    <a:prstGeom prst="rect">
                      <a:avLst/>
                    </a:prstGeom>
                  </pic:spPr>
                </pic:pic>
              </a:graphicData>
            </a:graphic>
          </wp:inline>
        </w:drawing>
      </w:r>
    </w:p>
    <w:p>
      <w:pPr>
        <w:spacing w:line="560" w:lineRule="exact"/>
        <w:ind w:firstLine="640" w:firstLineChars="200"/>
        <w:rPr>
          <w:rFonts w:ascii="黑体" w:hAnsi="黑体" w:eastAsia="黑体"/>
          <w:sz w:val="32"/>
          <w:szCs w:val="32"/>
        </w:rPr>
      </w:pPr>
      <w:r>
        <w:rPr>
          <w:rFonts w:hint="eastAsia" w:ascii="黑体" w:hAnsi="黑体" w:eastAsia="黑体"/>
          <w:sz w:val="32"/>
          <w:szCs w:val="32"/>
        </w:rPr>
        <w:t>三、享受待遇情况</w:t>
      </w:r>
    </w:p>
    <w:p>
      <w:pPr>
        <w:spacing w:line="560" w:lineRule="exact"/>
        <w:ind w:firstLine="643" w:firstLineChars="200"/>
        <w:rPr>
          <w:rFonts w:ascii="仿宋_GB2312" w:eastAsia="仿宋_GB2312"/>
          <w:sz w:val="32"/>
          <w:szCs w:val="32"/>
        </w:rPr>
      </w:pPr>
      <w:r>
        <w:rPr>
          <w:rFonts w:hint="eastAsia" w:ascii="楷体_GB2312" w:eastAsia="楷体_GB2312"/>
          <w:b/>
          <w:sz w:val="32"/>
          <w:szCs w:val="32"/>
        </w:rPr>
        <w:t>（一）享受工伤保险待遇人员情况。</w:t>
      </w:r>
      <w:r>
        <w:rPr>
          <w:rFonts w:hint="eastAsia" w:ascii="仿宋_GB2312" w:eastAsia="仿宋_GB2312"/>
          <w:sz w:val="32"/>
          <w:szCs w:val="32"/>
        </w:rPr>
        <w:t>2021年享受工伤保险待遇</w:t>
      </w:r>
      <w:r>
        <w:rPr>
          <w:rFonts w:hint="eastAsia" w:ascii="仿宋_GB2312" w:eastAsia="仿宋_GB2312"/>
          <w:kern w:val="0"/>
          <w:sz w:val="32"/>
          <w:szCs w:val="32"/>
        </w:rPr>
        <w:t>6488</w:t>
      </w:r>
      <w:r>
        <w:rPr>
          <w:rFonts w:hint="eastAsia" w:ascii="仿宋_GB2312" w:eastAsia="仿宋_GB2312"/>
          <w:sz w:val="32"/>
          <w:szCs w:val="32"/>
        </w:rPr>
        <w:t>人，较上年</w:t>
      </w:r>
      <w:r>
        <w:rPr>
          <w:rFonts w:hint="eastAsia" w:ascii="仿宋_GB2312" w:eastAsia="仿宋_GB2312"/>
          <w:kern w:val="0"/>
          <w:sz w:val="32"/>
          <w:szCs w:val="32"/>
        </w:rPr>
        <w:t>增加98</w:t>
      </w:r>
      <w:r>
        <w:rPr>
          <w:rFonts w:hint="eastAsia" w:ascii="仿宋_GB2312" w:eastAsia="仿宋_GB2312"/>
          <w:sz w:val="32"/>
          <w:szCs w:val="32"/>
        </w:rPr>
        <w:t>人，</w:t>
      </w:r>
      <w:r>
        <w:rPr>
          <w:rFonts w:hint="eastAsia" w:ascii="仿宋_GB2312" w:eastAsia="仿宋_GB2312"/>
          <w:kern w:val="0"/>
          <w:sz w:val="32"/>
          <w:szCs w:val="32"/>
        </w:rPr>
        <w:t>增长了1.53%</w:t>
      </w:r>
      <w:r>
        <w:rPr>
          <w:rFonts w:hint="eastAsia" w:ascii="仿宋_GB2312" w:eastAsia="仿宋_GB2312"/>
          <w:sz w:val="32"/>
          <w:szCs w:val="32"/>
        </w:rPr>
        <w:t>；比2017年增加1220人，年平均增长5.35%。享受伤残待遇</w:t>
      </w:r>
      <w:r>
        <w:rPr>
          <w:rFonts w:hint="eastAsia" w:ascii="仿宋_GB2312" w:eastAsia="仿宋_GB2312"/>
          <w:kern w:val="0"/>
          <w:sz w:val="32"/>
          <w:szCs w:val="32"/>
        </w:rPr>
        <w:t>5179</w:t>
      </w:r>
      <w:r>
        <w:rPr>
          <w:rFonts w:hint="eastAsia" w:ascii="仿宋_GB2312" w:eastAsia="仿宋_GB2312"/>
          <w:sz w:val="32"/>
          <w:szCs w:val="32"/>
        </w:rPr>
        <w:t>人，较上年</w:t>
      </w:r>
      <w:r>
        <w:rPr>
          <w:rFonts w:hint="eastAsia" w:ascii="仿宋_GB2312" w:eastAsia="仿宋_GB2312"/>
          <w:kern w:val="0"/>
          <w:sz w:val="32"/>
          <w:szCs w:val="32"/>
        </w:rPr>
        <w:t>增加89</w:t>
      </w:r>
      <w:r>
        <w:rPr>
          <w:rFonts w:hint="eastAsia" w:ascii="仿宋_GB2312" w:eastAsia="仿宋_GB2312"/>
          <w:sz w:val="32"/>
          <w:szCs w:val="32"/>
        </w:rPr>
        <w:t>人，</w:t>
      </w:r>
      <w:r>
        <w:rPr>
          <w:rFonts w:hint="eastAsia" w:ascii="仿宋_GB2312" w:eastAsia="仿宋_GB2312"/>
          <w:kern w:val="0"/>
          <w:sz w:val="32"/>
          <w:szCs w:val="32"/>
        </w:rPr>
        <w:t>增长了1.75%</w:t>
      </w:r>
      <w:r>
        <w:rPr>
          <w:rFonts w:hint="eastAsia" w:ascii="仿宋_GB2312" w:eastAsia="仿宋_GB2312"/>
          <w:sz w:val="32"/>
          <w:szCs w:val="32"/>
        </w:rPr>
        <w:t>；比2017年增加1064人，年平均增加5.92%。其中，无伤残等级工伤职工211人，占4.07%；有伤残等级的职工4968人，占95.93%（一至四级伤残968人，占18.69%；五至六级伤残100人，占1.93%；七至十级伤残3900人，占75.30%）。因工死亡（工伤认定为因工死亡并由工伤保险基金支付待遇）143人，比上年减少14人，降低了8.92%；比2017年减少48人，年平均降低6.98%。供养亲属人数1166人，比上年增加23人，增长2.01%；比2017年增加204人，年平均增长4.93%。</w:t>
      </w:r>
    </w:p>
    <w:p>
      <w:pPr>
        <w:spacing w:line="360" w:lineRule="exact"/>
        <w:jc w:val="center"/>
        <w:rPr>
          <w:rFonts w:ascii="仿宋_GB2312" w:eastAsia="仿宋_GB2312"/>
          <w:sz w:val="28"/>
          <w:szCs w:val="28"/>
        </w:rPr>
      </w:pPr>
    </w:p>
    <w:p>
      <w:pPr>
        <w:spacing w:line="360" w:lineRule="exact"/>
        <w:jc w:val="center"/>
        <w:rPr>
          <w:rFonts w:ascii="仿宋_GB2312" w:eastAsia="仿宋_GB2312"/>
          <w:sz w:val="28"/>
          <w:szCs w:val="28"/>
        </w:rPr>
      </w:pPr>
      <w:r>
        <w:rPr>
          <w:rFonts w:hint="eastAsia" w:ascii="仿宋_GB2312" w:eastAsia="仿宋_GB2312"/>
          <w:sz w:val="28"/>
          <w:szCs w:val="28"/>
        </w:rPr>
        <w:t>表2-3：全区工伤保险享受待遇人员情况表</w:t>
      </w:r>
    </w:p>
    <w:tbl>
      <w:tblPr>
        <w:tblStyle w:val="23"/>
        <w:tblW w:w="9586" w:type="dxa"/>
        <w:jc w:val="center"/>
        <w:tblInd w:w="0" w:type="dxa"/>
        <w:tblLayout w:type="fixed"/>
        <w:tblCellMar>
          <w:top w:w="0" w:type="dxa"/>
          <w:left w:w="108" w:type="dxa"/>
          <w:bottom w:w="0" w:type="dxa"/>
          <w:right w:w="108" w:type="dxa"/>
        </w:tblCellMar>
      </w:tblPr>
      <w:tblGrid>
        <w:gridCol w:w="898"/>
        <w:gridCol w:w="692"/>
        <w:gridCol w:w="710"/>
        <w:gridCol w:w="720"/>
        <w:gridCol w:w="720"/>
        <w:gridCol w:w="786"/>
        <w:gridCol w:w="616"/>
        <w:gridCol w:w="701"/>
        <w:gridCol w:w="535"/>
        <w:gridCol w:w="653"/>
        <w:gridCol w:w="653"/>
        <w:gridCol w:w="568"/>
        <w:gridCol w:w="614"/>
        <w:gridCol w:w="720"/>
      </w:tblGrid>
      <w:tr>
        <w:tblPrEx>
          <w:tblLayout w:type="fixed"/>
          <w:tblCellMar>
            <w:top w:w="0" w:type="dxa"/>
            <w:left w:w="108" w:type="dxa"/>
            <w:bottom w:w="0" w:type="dxa"/>
            <w:right w:w="108" w:type="dxa"/>
          </w:tblCellMar>
        </w:tblPrEx>
        <w:trPr>
          <w:trHeight w:val="478" w:hRule="atLeast"/>
          <w:jc w:val="center"/>
        </w:trPr>
        <w:tc>
          <w:tcPr>
            <w:tcW w:w="9586" w:type="dxa"/>
            <w:gridSpan w:val="14"/>
            <w:tcBorders>
              <w:top w:val="nil"/>
              <w:left w:val="nil"/>
              <w:bottom w:val="nil"/>
              <w:right w:val="nil"/>
            </w:tcBorders>
            <w:vAlign w:val="center"/>
          </w:tcPr>
          <w:p>
            <w:pPr>
              <w:widowControl/>
              <w:spacing w:line="360" w:lineRule="exact"/>
              <w:jc w:val="right"/>
              <w:rPr>
                <w:rFonts w:ascii="仿宋_GB2312" w:eastAsia="仿宋_GB2312"/>
                <w:bCs/>
                <w:kern w:val="0"/>
                <w:sz w:val="28"/>
                <w:szCs w:val="28"/>
              </w:rPr>
            </w:pPr>
            <w:r>
              <w:rPr>
                <w:rFonts w:hint="eastAsia" w:ascii="仿宋_GB2312" w:eastAsia="仿宋_GB2312"/>
                <w:bCs/>
                <w:kern w:val="0"/>
                <w:sz w:val="28"/>
                <w:szCs w:val="28"/>
              </w:rPr>
              <w:t xml:space="preserve">                                                     单位：人</w:t>
            </w:r>
          </w:p>
        </w:tc>
      </w:tr>
      <w:tr>
        <w:tblPrEx>
          <w:tblLayout w:type="fixed"/>
          <w:tblCellMar>
            <w:top w:w="0" w:type="dxa"/>
            <w:left w:w="108" w:type="dxa"/>
            <w:bottom w:w="0" w:type="dxa"/>
            <w:right w:w="108" w:type="dxa"/>
          </w:tblCellMar>
        </w:tblPrEx>
        <w:trPr>
          <w:trHeight w:val="509" w:hRule="atLeast"/>
          <w:jc w:val="center"/>
        </w:trPr>
        <w:tc>
          <w:tcPr>
            <w:tcW w:w="89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eastAsia="仿宋_GB2312"/>
                <w:kern w:val="0"/>
                <w:sz w:val="16"/>
                <w:szCs w:val="16"/>
              </w:rPr>
            </w:pPr>
            <w:r>
              <w:rPr>
                <w:rFonts w:hint="eastAsia" w:ascii="仿宋_GB2312" w:eastAsia="仿宋_GB2312"/>
                <w:kern w:val="0"/>
                <w:sz w:val="16"/>
                <w:szCs w:val="16"/>
              </w:rPr>
              <w:t>年份</w:t>
            </w:r>
          </w:p>
        </w:tc>
        <w:tc>
          <w:tcPr>
            <w:tcW w:w="69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eastAsia="仿宋_GB2312"/>
                <w:kern w:val="0"/>
                <w:sz w:val="16"/>
                <w:szCs w:val="16"/>
              </w:rPr>
            </w:pPr>
            <w:r>
              <w:rPr>
                <w:rFonts w:hint="eastAsia" w:ascii="仿宋_GB2312" w:eastAsia="仿宋_GB2312"/>
                <w:kern w:val="0"/>
                <w:sz w:val="16"/>
                <w:szCs w:val="16"/>
              </w:rPr>
              <w:t>总计</w:t>
            </w:r>
          </w:p>
        </w:tc>
        <w:tc>
          <w:tcPr>
            <w:tcW w:w="3552" w:type="dxa"/>
            <w:gridSpan w:val="5"/>
            <w:tcBorders>
              <w:top w:val="single" w:color="auto" w:sz="4" w:space="0"/>
              <w:left w:val="nil"/>
              <w:bottom w:val="single" w:color="auto" w:sz="4" w:space="0"/>
              <w:right w:val="single" w:color="auto" w:sz="4" w:space="0"/>
            </w:tcBorders>
            <w:vAlign w:val="center"/>
          </w:tcPr>
          <w:p>
            <w:pPr>
              <w:widowControl/>
              <w:jc w:val="center"/>
              <w:rPr>
                <w:rFonts w:ascii="仿宋_GB2312" w:eastAsia="仿宋_GB2312"/>
                <w:kern w:val="0"/>
                <w:sz w:val="16"/>
                <w:szCs w:val="16"/>
              </w:rPr>
            </w:pPr>
            <w:r>
              <w:rPr>
                <w:rFonts w:hint="eastAsia" w:ascii="仿宋_GB2312" w:eastAsia="仿宋_GB2312"/>
                <w:kern w:val="0"/>
                <w:sz w:val="16"/>
                <w:szCs w:val="16"/>
              </w:rPr>
              <w:t>享受伤残待遇的人数</w:t>
            </w:r>
          </w:p>
        </w:tc>
        <w:tc>
          <w:tcPr>
            <w:tcW w:w="3110" w:type="dxa"/>
            <w:gridSpan w:val="5"/>
            <w:tcBorders>
              <w:top w:val="single" w:color="auto" w:sz="4" w:space="0"/>
              <w:left w:val="nil"/>
              <w:bottom w:val="single" w:color="auto" w:sz="4" w:space="0"/>
              <w:right w:val="single" w:color="auto" w:sz="4" w:space="0"/>
            </w:tcBorders>
            <w:vAlign w:val="center"/>
          </w:tcPr>
          <w:p>
            <w:pPr>
              <w:widowControl/>
              <w:jc w:val="center"/>
              <w:rPr>
                <w:rFonts w:ascii="仿宋_GB2312" w:eastAsia="仿宋_GB2312"/>
                <w:kern w:val="0"/>
                <w:sz w:val="16"/>
                <w:szCs w:val="16"/>
              </w:rPr>
            </w:pPr>
            <w:r>
              <w:rPr>
                <w:rFonts w:hint="eastAsia" w:ascii="仿宋_GB2312" w:eastAsia="仿宋_GB2312"/>
                <w:kern w:val="0"/>
                <w:sz w:val="16"/>
                <w:szCs w:val="16"/>
              </w:rPr>
              <w:t>享受职业病待遇的人数</w:t>
            </w:r>
          </w:p>
        </w:tc>
        <w:tc>
          <w:tcPr>
            <w:tcW w:w="61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eastAsia="仿宋_GB2312"/>
                <w:kern w:val="0"/>
                <w:sz w:val="16"/>
                <w:szCs w:val="16"/>
              </w:rPr>
            </w:pPr>
            <w:r>
              <w:rPr>
                <w:rFonts w:hint="eastAsia" w:ascii="仿宋_GB2312" w:eastAsia="仿宋_GB2312"/>
                <w:kern w:val="0"/>
                <w:sz w:val="16"/>
                <w:szCs w:val="16"/>
              </w:rPr>
              <w:t>因工死亡人数</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eastAsia="仿宋_GB2312"/>
                <w:kern w:val="0"/>
                <w:sz w:val="16"/>
                <w:szCs w:val="16"/>
              </w:rPr>
            </w:pPr>
            <w:r>
              <w:rPr>
                <w:rFonts w:hint="eastAsia" w:ascii="仿宋_GB2312" w:eastAsia="仿宋_GB2312"/>
                <w:kern w:val="0"/>
                <w:sz w:val="16"/>
                <w:szCs w:val="16"/>
              </w:rPr>
              <w:t>供养亲属人数</w:t>
            </w:r>
          </w:p>
        </w:tc>
      </w:tr>
      <w:tr>
        <w:tblPrEx>
          <w:tblLayout w:type="fixed"/>
          <w:tblCellMar>
            <w:top w:w="0" w:type="dxa"/>
            <w:left w:w="108" w:type="dxa"/>
            <w:bottom w:w="0" w:type="dxa"/>
            <w:right w:w="108" w:type="dxa"/>
          </w:tblCellMar>
        </w:tblPrEx>
        <w:trPr>
          <w:trHeight w:val="600" w:hRule="atLeast"/>
          <w:jc w:val="center"/>
        </w:trPr>
        <w:tc>
          <w:tcPr>
            <w:tcW w:w="89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kern w:val="0"/>
                <w:sz w:val="16"/>
                <w:szCs w:val="16"/>
              </w:rPr>
            </w:pPr>
          </w:p>
        </w:tc>
        <w:tc>
          <w:tcPr>
            <w:tcW w:w="6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kern w:val="0"/>
                <w:sz w:val="16"/>
                <w:szCs w:val="16"/>
              </w:rPr>
            </w:pPr>
          </w:p>
        </w:tc>
        <w:tc>
          <w:tcPr>
            <w:tcW w:w="710" w:type="dxa"/>
            <w:vMerge w:val="restart"/>
            <w:tcBorders>
              <w:top w:val="nil"/>
              <w:left w:val="single" w:color="auto" w:sz="4" w:space="0"/>
              <w:bottom w:val="single" w:color="auto" w:sz="4" w:space="0"/>
              <w:right w:val="single" w:color="auto" w:sz="4" w:space="0"/>
            </w:tcBorders>
            <w:vAlign w:val="center"/>
          </w:tcPr>
          <w:p>
            <w:pPr>
              <w:widowControl/>
              <w:jc w:val="center"/>
              <w:rPr>
                <w:rFonts w:ascii="仿宋_GB2312" w:eastAsia="仿宋_GB2312"/>
                <w:kern w:val="0"/>
                <w:sz w:val="16"/>
                <w:szCs w:val="16"/>
              </w:rPr>
            </w:pPr>
            <w:r>
              <w:rPr>
                <w:rFonts w:hint="eastAsia" w:ascii="仿宋_GB2312" w:eastAsia="仿宋_GB2312"/>
                <w:kern w:val="0"/>
                <w:sz w:val="16"/>
                <w:szCs w:val="16"/>
              </w:rPr>
              <w:t>合计</w:t>
            </w:r>
          </w:p>
        </w:tc>
        <w:tc>
          <w:tcPr>
            <w:tcW w:w="720" w:type="dxa"/>
            <w:vMerge w:val="restart"/>
            <w:tcBorders>
              <w:top w:val="nil"/>
              <w:left w:val="single" w:color="auto" w:sz="4" w:space="0"/>
              <w:bottom w:val="single" w:color="auto" w:sz="4" w:space="0"/>
              <w:right w:val="single" w:color="auto" w:sz="4" w:space="0"/>
            </w:tcBorders>
            <w:vAlign w:val="center"/>
          </w:tcPr>
          <w:p>
            <w:pPr>
              <w:widowControl/>
              <w:jc w:val="center"/>
              <w:rPr>
                <w:rFonts w:ascii="仿宋_GB2312" w:eastAsia="仿宋_GB2312"/>
                <w:kern w:val="0"/>
                <w:sz w:val="16"/>
                <w:szCs w:val="16"/>
              </w:rPr>
            </w:pPr>
            <w:r>
              <w:rPr>
                <w:rFonts w:hint="eastAsia" w:ascii="仿宋_GB2312" w:eastAsia="仿宋_GB2312"/>
                <w:kern w:val="0"/>
                <w:sz w:val="16"/>
                <w:szCs w:val="16"/>
              </w:rPr>
              <w:t>一至四级</w:t>
            </w:r>
          </w:p>
        </w:tc>
        <w:tc>
          <w:tcPr>
            <w:tcW w:w="720" w:type="dxa"/>
            <w:vMerge w:val="restart"/>
            <w:tcBorders>
              <w:top w:val="nil"/>
              <w:left w:val="single" w:color="auto" w:sz="4" w:space="0"/>
              <w:bottom w:val="single" w:color="auto" w:sz="4" w:space="0"/>
              <w:right w:val="single" w:color="auto" w:sz="4" w:space="0"/>
            </w:tcBorders>
            <w:vAlign w:val="center"/>
          </w:tcPr>
          <w:p>
            <w:pPr>
              <w:widowControl/>
              <w:jc w:val="center"/>
              <w:rPr>
                <w:rFonts w:ascii="仿宋_GB2312" w:eastAsia="仿宋_GB2312"/>
                <w:kern w:val="0"/>
                <w:sz w:val="16"/>
                <w:szCs w:val="16"/>
              </w:rPr>
            </w:pPr>
            <w:r>
              <w:rPr>
                <w:rFonts w:hint="eastAsia" w:ascii="仿宋_GB2312" w:eastAsia="仿宋_GB2312"/>
                <w:kern w:val="0"/>
                <w:sz w:val="16"/>
                <w:szCs w:val="16"/>
              </w:rPr>
              <w:t>五至六级</w:t>
            </w:r>
          </w:p>
        </w:tc>
        <w:tc>
          <w:tcPr>
            <w:tcW w:w="786" w:type="dxa"/>
            <w:vMerge w:val="restart"/>
            <w:tcBorders>
              <w:top w:val="nil"/>
              <w:left w:val="single" w:color="auto" w:sz="4" w:space="0"/>
              <w:bottom w:val="single" w:color="auto" w:sz="4" w:space="0"/>
              <w:right w:val="single" w:color="auto" w:sz="4" w:space="0"/>
            </w:tcBorders>
            <w:vAlign w:val="center"/>
          </w:tcPr>
          <w:p>
            <w:pPr>
              <w:widowControl/>
              <w:jc w:val="center"/>
              <w:rPr>
                <w:rFonts w:ascii="仿宋_GB2312" w:eastAsia="仿宋_GB2312"/>
                <w:kern w:val="0"/>
                <w:sz w:val="16"/>
                <w:szCs w:val="16"/>
              </w:rPr>
            </w:pPr>
            <w:r>
              <w:rPr>
                <w:rFonts w:hint="eastAsia" w:ascii="仿宋_GB2312" w:eastAsia="仿宋_GB2312"/>
                <w:kern w:val="0"/>
                <w:sz w:val="16"/>
                <w:szCs w:val="16"/>
              </w:rPr>
              <w:t>七至十级</w:t>
            </w:r>
          </w:p>
        </w:tc>
        <w:tc>
          <w:tcPr>
            <w:tcW w:w="616" w:type="dxa"/>
            <w:vMerge w:val="restart"/>
            <w:tcBorders>
              <w:top w:val="nil"/>
              <w:left w:val="single" w:color="auto" w:sz="4" w:space="0"/>
              <w:bottom w:val="single" w:color="auto" w:sz="4" w:space="0"/>
              <w:right w:val="single" w:color="auto" w:sz="4" w:space="0"/>
            </w:tcBorders>
            <w:vAlign w:val="center"/>
          </w:tcPr>
          <w:p>
            <w:pPr>
              <w:widowControl/>
              <w:jc w:val="center"/>
              <w:rPr>
                <w:rFonts w:ascii="仿宋_GB2312" w:eastAsia="仿宋_GB2312"/>
                <w:kern w:val="0"/>
                <w:sz w:val="16"/>
                <w:szCs w:val="16"/>
              </w:rPr>
            </w:pPr>
            <w:r>
              <w:rPr>
                <w:rFonts w:hint="eastAsia" w:ascii="仿宋_GB2312" w:eastAsia="仿宋_GB2312"/>
                <w:kern w:val="0"/>
                <w:sz w:val="16"/>
                <w:szCs w:val="16"/>
              </w:rPr>
              <w:t>未评定伤残等级</w:t>
            </w:r>
          </w:p>
        </w:tc>
        <w:tc>
          <w:tcPr>
            <w:tcW w:w="701" w:type="dxa"/>
            <w:vMerge w:val="restart"/>
            <w:tcBorders>
              <w:top w:val="nil"/>
              <w:left w:val="single" w:color="auto" w:sz="4" w:space="0"/>
              <w:bottom w:val="single" w:color="auto" w:sz="4" w:space="0"/>
              <w:right w:val="single" w:color="auto" w:sz="4" w:space="0"/>
            </w:tcBorders>
            <w:vAlign w:val="center"/>
          </w:tcPr>
          <w:p>
            <w:pPr>
              <w:widowControl/>
              <w:jc w:val="center"/>
              <w:rPr>
                <w:rFonts w:ascii="仿宋_GB2312" w:eastAsia="仿宋_GB2312"/>
                <w:kern w:val="0"/>
                <w:sz w:val="16"/>
                <w:szCs w:val="16"/>
              </w:rPr>
            </w:pPr>
            <w:r>
              <w:rPr>
                <w:rFonts w:hint="eastAsia" w:ascii="仿宋_GB2312" w:eastAsia="仿宋_GB2312"/>
                <w:kern w:val="0"/>
                <w:sz w:val="16"/>
                <w:szCs w:val="16"/>
              </w:rPr>
              <w:t>合计</w:t>
            </w:r>
          </w:p>
        </w:tc>
        <w:tc>
          <w:tcPr>
            <w:tcW w:w="535" w:type="dxa"/>
            <w:vMerge w:val="restart"/>
            <w:tcBorders>
              <w:top w:val="nil"/>
              <w:left w:val="single" w:color="auto" w:sz="4" w:space="0"/>
              <w:bottom w:val="single" w:color="auto" w:sz="4" w:space="0"/>
              <w:right w:val="single" w:color="auto" w:sz="4" w:space="0"/>
            </w:tcBorders>
            <w:vAlign w:val="center"/>
          </w:tcPr>
          <w:p>
            <w:pPr>
              <w:widowControl/>
              <w:jc w:val="center"/>
              <w:rPr>
                <w:rFonts w:ascii="仿宋_GB2312" w:eastAsia="仿宋_GB2312"/>
                <w:kern w:val="0"/>
                <w:sz w:val="16"/>
                <w:szCs w:val="16"/>
              </w:rPr>
            </w:pPr>
            <w:r>
              <w:rPr>
                <w:rFonts w:hint="eastAsia" w:ascii="仿宋_GB2312" w:eastAsia="仿宋_GB2312"/>
                <w:kern w:val="0"/>
                <w:sz w:val="16"/>
                <w:szCs w:val="16"/>
              </w:rPr>
              <w:t>一至四级</w:t>
            </w:r>
          </w:p>
        </w:tc>
        <w:tc>
          <w:tcPr>
            <w:tcW w:w="653" w:type="dxa"/>
            <w:vMerge w:val="restart"/>
            <w:tcBorders>
              <w:top w:val="nil"/>
              <w:left w:val="single" w:color="auto" w:sz="4" w:space="0"/>
              <w:bottom w:val="single" w:color="auto" w:sz="4" w:space="0"/>
              <w:right w:val="single" w:color="auto" w:sz="4" w:space="0"/>
            </w:tcBorders>
            <w:vAlign w:val="center"/>
          </w:tcPr>
          <w:p>
            <w:pPr>
              <w:widowControl/>
              <w:jc w:val="center"/>
              <w:rPr>
                <w:rFonts w:ascii="仿宋_GB2312" w:eastAsia="仿宋_GB2312"/>
                <w:kern w:val="0"/>
                <w:sz w:val="16"/>
                <w:szCs w:val="16"/>
              </w:rPr>
            </w:pPr>
            <w:r>
              <w:rPr>
                <w:rFonts w:hint="eastAsia" w:ascii="仿宋_GB2312" w:eastAsia="仿宋_GB2312"/>
                <w:kern w:val="0"/>
                <w:sz w:val="16"/>
                <w:szCs w:val="16"/>
              </w:rPr>
              <w:t>五至六级</w:t>
            </w:r>
          </w:p>
        </w:tc>
        <w:tc>
          <w:tcPr>
            <w:tcW w:w="653" w:type="dxa"/>
            <w:vMerge w:val="restart"/>
            <w:tcBorders>
              <w:top w:val="nil"/>
              <w:left w:val="single" w:color="auto" w:sz="4" w:space="0"/>
              <w:bottom w:val="single" w:color="auto" w:sz="4" w:space="0"/>
              <w:right w:val="single" w:color="auto" w:sz="4" w:space="0"/>
            </w:tcBorders>
            <w:vAlign w:val="center"/>
          </w:tcPr>
          <w:p>
            <w:pPr>
              <w:widowControl/>
              <w:jc w:val="center"/>
              <w:rPr>
                <w:rFonts w:ascii="仿宋_GB2312" w:eastAsia="仿宋_GB2312"/>
                <w:kern w:val="0"/>
                <w:sz w:val="16"/>
                <w:szCs w:val="16"/>
              </w:rPr>
            </w:pPr>
            <w:r>
              <w:rPr>
                <w:rFonts w:hint="eastAsia" w:ascii="仿宋_GB2312" w:eastAsia="仿宋_GB2312"/>
                <w:kern w:val="0"/>
                <w:sz w:val="16"/>
                <w:szCs w:val="16"/>
              </w:rPr>
              <w:t>七至十级</w:t>
            </w:r>
          </w:p>
        </w:tc>
        <w:tc>
          <w:tcPr>
            <w:tcW w:w="568" w:type="dxa"/>
            <w:vMerge w:val="restart"/>
            <w:tcBorders>
              <w:top w:val="nil"/>
              <w:left w:val="single" w:color="auto" w:sz="4" w:space="0"/>
              <w:bottom w:val="single" w:color="auto" w:sz="4" w:space="0"/>
              <w:right w:val="single" w:color="auto" w:sz="4" w:space="0"/>
            </w:tcBorders>
            <w:vAlign w:val="center"/>
          </w:tcPr>
          <w:p>
            <w:pPr>
              <w:widowControl/>
              <w:jc w:val="center"/>
              <w:rPr>
                <w:rFonts w:ascii="仿宋_GB2312" w:eastAsia="仿宋_GB2312"/>
                <w:kern w:val="0"/>
                <w:sz w:val="16"/>
                <w:szCs w:val="16"/>
              </w:rPr>
            </w:pPr>
            <w:r>
              <w:rPr>
                <w:rFonts w:hint="eastAsia" w:ascii="仿宋_GB2312" w:eastAsia="仿宋_GB2312"/>
                <w:kern w:val="0"/>
                <w:sz w:val="16"/>
                <w:szCs w:val="16"/>
              </w:rPr>
              <w:t>未评定伤残等级</w:t>
            </w:r>
          </w:p>
        </w:tc>
        <w:tc>
          <w:tcPr>
            <w:tcW w:w="6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kern w:val="0"/>
                <w:sz w:val="16"/>
                <w:szCs w:val="16"/>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kern w:val="0"/>
                <w:sz w:val="16"/>
                <w:szCs w:val="16"/>
              </w:rPr>
            </w:pPr>
          </w:p>
        </w:tc>
      </w:tr>
      <w:tr>
        <w:tblPrEx>
          <w:tblLayout w:type="fixed"/>
          <w:tblCellMar>
            <w:top w:w="0" w:type="dxa"/>
            <w:left w:w="108" w:type="dxa"/>
            <w:bottom w:w="0" w:type="dxa"/>
            <w:right w:w="108" w:type="dxa"/>
          </w:tblCellMar>
        </w:tblPrEx>
        <w:trPr>
          <w:trHeight w:val="319" w:hRule="atLeast"/>
          <w:jc w:val="center"/>
        </w:trPr>
        <w:tc>
          <w:tcPr>
            <w:tcW w:w="89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kern w:val="0"/>
                <w:sz w:val="16"/>
                <w:szCs w:val="16"/>
              </w:rPr>
            </w:pPr>
          </w:p>
        </w:tc>
        <w:tc>
          <w:tcPr>
            <w:tcW w:w="6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kern w:val="0"/>
                <w:sz w:val="16"/>
                <w:szCs w:val="16"/>
              </w:rPr>
            </w:pPr>
          </w:p>
        </w:tc>
        <w:tc>
          <w:tcPr>
            <w:tcW w:w="71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eastAsia="仿宋_GB2312"/>
                <w:kern w:val="0"/>
                <w:sz w:val="16"/>
                <w:szCs w:val="16"/>
              </w:rPr>
            </w:pPr>
          </w:p>
        </w:tc>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eastAsia="仿宋_GB2312"/>
                <w:kern w:val="0"/>
                <w:sz w:val="16"/>
                <w:szCs w:val="16"/>
              </w:rPr>
            </w:pPr>
          </w:p>
        </w:tc>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eastAsia="仿宋_GB2312"/>
                <w:kern w:val="0"/>
                <w:sz w:val="16"/>
                <w:szCs w:val="16"/>
              </w:rPr>
            </w:pPr>
          </w:p>
        </w:tc>
        <w:tc>
          <w:tcPr>
            <w:tcW w:w="786"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eastAsia="仿宋_GB2312"/>
                <w:kern w:val="0"/>
                <w:sz w:val="16"/>
                <w:szCs w:val="16"/>
              </w:rPr>
            </w:pPr>
          </w:p>
        </w:tc>
        <w:tc>
          <w:tcPr>
            <w:tcW w:w="616"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eastAsia="仿宋_GB2312"/>
                <w:kern w:val="0"/>
                <w:sz w:val="16"/>
                <w:szCs w:val="16"/>
              </w:rPr>
            </w:pPr>
          </w:p>
        </w:tc>
        <w:tc>
          <w:tcPr>
            <w:tcW w:w="701"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eastAsia="仿宋_GB2312"/>
                <w:kern w:val="0"/>
                <w:sz w:val="16"/>
                <w:szCs w:val="16"/>
              </w:rPr>
            </w:pPr>
          </w:p>
        </w:tc>
        <w:tc>
          <w:tcPr>
            <w:tcW w:w="535"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eastAsia="仿宋_GB2312"/>
                <w:kern w:val="0"/>
                <w:sz w:val="16"/>
                <w:szCs w:val="16"/>
              </w:rPr>
            </w:pPr>
          </w:p>
        </w:tc>
        <w:tc>
          <w:tcPr>
            <w:tcW w:w="653"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eastAsia="仿宋_GB2312"/>
                <w:kern w:val="0"/>
                <w:sz w:val="16"/>
                <w:szCs w:val="16"/>
              </w:rPr>
            </w:pPr>
          </w:p>
        </w:tc>
        <w:tc>
          <w:tcPr>
            <w:tcW w:w="653"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eastAsia="仿宋_GB2312"/>
                <w:kern w:val="0"/>
                <w:sz w:val="16"/>
                <w:szCs w:val="16"/>
              </w:rPr>
            </w:pPr>
          </w:p>
        </w:tc>
        <w:tc>
          <w:tcPr>
            <w:tcW w:w="568"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eastAsia="仿宋_GB2312"/>
                <w:kern w:val="0"/>
                <w:sz w:val="16"/>
                <w:szCs w:val="16"/>
              </w:rPr>
            </w:pPr>
          </w:p>
        </w:tc>
        <w:tc>
          <w:tcPr>
            <w:tcW w:w="61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kern w:val="0"/>
                <w:sz w:val="16"/>
                <w:szCs w:val="16"/>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eastAsia="仿宋_GB2312"/>
                <w:kern w:val="0"/>
                <w:sz w:val="16"/>
                <w:szCs w:val="16"/>
              </w:rPr>
            </w:pPr>
          </w:p>
        </w:tc>
      </w:tr>
      <w:tr>
        <w:tblPrEx>
          <w:tblLayout w:type="fixed"/>
          <w:tblCellMar>
            <w:top w:w="0" w:type="dxa"/>
            <w:left w:w="108" w:type="dxa"/>
            <w:bottom w:w="0" w:type="dxa"/>
            <w:right w:w="108" w:type="dxa"/>
          </w:tblCellMar>
        </w:tblPrEx>
        <w:trPr>
          <w:trHeight w:val="567" w:hRule="atLeast"/>
          <w:jc w:val="center"/>
        </w:trPr>
        <w:tc>
          <w:tcPr>
            <w:tcW w:w="898" w:type="dxa"/>
            <w:tcBorders>
              <w:top w:val="nil"/>
              <w:left w:val="single" w:color="auto" w:sz="4" w:space="0"/>
              <w:bottom w:val="single" w:color="auto" w:sz="4" w:space="0"/>
              <w:right w:val="single" w:color="auto" w:sz="4" w:space="0"/>
            </w:tcBorders>
            <w:vAlign w:val="center"/>
          </w:tcPr>
          <w:p>
            <w:pPr>
              <w:widowControl/>
              <w:jc w:val="center"/>
              <w:rPr>
                <w:rFonts w:ascii="仿宋_GB2312" w:eastAsia="仿宋_GB2312"/>
                <w:kern w:val="0"/>
                <w:sz w:val="20"/>
                <w:szCs w:val="20"/>
              </w:rPr>
            </w:pPr>
            <w:r>
              <w:rPr>
                <w:rFonts w:hint="eastAsia" w:ascii="仿宋_GB2312" w:eastAsia="仿宋_GB2312"/>
                <w:kern w:val="0"/>
                <w:sz w:val="20"/>
                <w:szCs w:val="20"/>
              </w:rPr>
              <w:t>2017年</w:t>
            </w:r>
          </w:p>
        </w:tc>
        <w:tc>
          <w:tcPr>
            <w:tcW w:w="692" w:type="dxa"/>
            <w:tcBorders>
              <w:top w:val="nil"/>
              <w:left w:val="nil"/>
              <w:bottom w:val="single" w:color="auto" w:sz="4" w:space="0"/>
              <w:right w:val="single" w:color="auto" w:sz="4" w:space="0"/>
            </w:tcBorders>
            <w:vAlign w:val="center"/>
          </w:tcPr>
          <w:p>
            <w:pPr>
              <w:widowControl/>
              <w:jc w:val="center"/>
              <w:rPr>
                <w:rFonts w:ascii="仿宋_GB2312" w:eastAsia="仿宋_GB2312"/>
                <w:color w:val="000000"/>
                <w:kern w:val="0"/>
                <w:szCs w:val="21"/>
              </w:rPr>
            </w:pPr>
            <w:r>
              <w:rPr>
                <w:rFonts w:hint="eastAsia" w:ascii="仿宋_GB2312" w:eastAsia="仿宋_GB2312"/>
                <w:color w:val="000000"/>
                <w:szCs w:val="21"/>
              </w:rPr>
              <w:t>5268</w:t>
            </w:r>
          </w:p>
        </w:tc>
        <w:tc>
          <w:tcPr>
            <w:tcW w:w="710"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4115</w:t>
            </w:r>
          </w:p>
        </w:tc>
        <w:tc>
          <w:tcPr>
            <w:tcW w:w="720"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891</w:t>
            </w:r>
          </w:p>
        </w:tc>
        <w:tc>
          <w:tcPr>
            <w:tcW w:w="720"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174</w:t>
            </w:r>
          </w:p>
        </w:tc>
        <w:tc>
          <w:tcPr>
            <w:tcW w:w="786"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2723</w:t>
            </w:r>
          </w:p>
        </w:tc>
        <w:tc>
          <w:tcPr>
            <w:tcW w:w="616"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327</w:t>
            </w:r>
          </w:p>
        </w:tc>
        <w:tc>
          <w:tcPr>
            <w:tcW w:w="701"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336</w:t>
            </w:r>
          </w:p>
        </w:tc>
        <w:tc>
          <w:tcPr>
            <w:tcW w:w="535"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267</w:t>
            </w:r>
          </w:p>
        </w:tc>
        <w:tc>
          <w:tcPr>
            <w:tcW w:w="653"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14</w:t>
            </w:r>
          </w:p>
        </w:tc>
        <w:tc>
          <w:tcPr>
            <w:tcW w:w="653"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54</w:t>
            </w:r>
          </w:p>
        </w:tc>
        <w:tc>
          <w:tcPr>
            <w:tcW w:w="568"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1</w:t>
            </w:r>
          </w:p>
        </w:tc>
        <w:tc>
          <w:tcPr>
            <w:tcW w:w="614" w:type="dxa"/>
            <w:tcBorders>
              <w:top w:val="nil"/>
              <w:left w:val="nil"/>
              <w:bottom w:val="single" w:color="auto" w:sz="4" w:space="0"/>
              <w:right w:val="single" w:color="auto" w:sz="4" w:space="0"/>
            </w:tcBorders>
            <w:vAlign w:val="center"/>
          </w:tcPr>
          <w:p>
            <w:pPr>
              <w:widowControl/>
              <w:jc w:val="center"/>
              <w:rPr>
                <w:rFonts w:ascii="仿宋_GB2312" w:eastAsia="仿宋_GB2312"/>
                <w:color w:val="000000"/>
                <w:kern w:val="0"/>
                <w:szCs w:val="21"/>
              </w:rPr>
            </w:pPr>
            <w:r>
              <w:rPr>
                <w:rFonts w:hint="eastAsia" w:ascii="仿宋_GB2312" w:eastAsia="仿宋_GB2312"/>
                <w:color w:val="000000"/>
                <w:szCs w:val="21"/>
              </w:rPr>
              <w:t>191</w:t>
            </w:r>
          </w:p>
        </w:tc>
        <w:tc>
          <w:tcPr>
            <w:tcW w:w="720"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962</w:t>
            </w:r>
          </w:p>
        </w:tc>
      </w:tr>
      <w:tr>
        <w:tblPrEx>
          <w:tblLayout w:type="fixed"/>
          <w:tblCellMar>
            <w:top w:w="0" w:type="dxa"/>
            <w:left w:w="108" w:type="dxa"/>
            <w:bottom w:w="0" w:type="dxa"/>
            <w:right w:w="108" w:type="dxa"/>
          </w:tblCellMar>
        </w:tblPrEx>
        <w:trPr>
          <w:trHeight w:val="567" w:hRule="atLeast"/>
          <w:jc w:val="center"/>
        </w:trPr>
        <w:tc>
          <w:tcPr>
            <w:tcW w:w="898" w:type="dxa"/>
            <w:tcBorders>
              <w:top w:val="nil"/>
              <w:left w:val="single" w:color="auto" w:sz="4" w:space="0"/>
              <w:bottom w:val="single" w:color="auto" w:sz="4" w:space="0"/>
              <w:right w:val="single" w:color="auto" w:sz="4" w:space="0"/>
            </w:tcBorders>
            <w:vAlign w:val="center"/>
          </w:tcPr>
          <w:p>
            <w:pPr>
              <w:widowControl/>
              <w:jc w:val="center"/>
              <w:rPr>
                <w:rFonts w:ascii="仿宋_GB2312" w:eastAsia="仿宋_GB2312"/>
                <w:kern w:val="0"/>
                <w:sz w:val="20"/>
                <w:szCs w:val="20"/>
              </w:rPr>
            </w:pPr>
            <w:r>
              <w:rPr>
                <w:rFonts w:hint="eastAsia" w:ascii="仿宋_GB2312" w:eastAsia="仿宋_GB2312"/>
                <w:kern w:val="0"/>
                <w:sz w:val="20"/>
                <w:szCs w:val="20"/>
              </w:rPr>
              <w:t>2018年</w:t>
            </w:r>
          </w:p>
        </w:tc>
        <w:tc>
          <w:tcPr>
            <w:tcW w:w="692"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6346</w:t>
            </w:r>
          </w:p>
        </w:tc>
        <w:tc>
          <w:tcPr>
            <w:tcW w:w="710"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5078</w:t>
            </w:r>
          </w:p>
        </w:tc>
        <w:tc>
          <w:tcPr>
            <w:tcW w:w="720"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1171</w:t>
            </w:r>
          </w:p>
        </w:tc>
        <w:tc>
          <w:tcPr>
            <w:tcW w:w="720"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424</w:t>
            </w:r>
          </w:p>
        </w:tc>
        <w:tc>
          <w:tcPr>
            <w:tcW w:w="786"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3268</w:t>
            </w:r>
          </w:p>
        </w:tc>
        <w:tc>
          <w:tcPr>
            <w:tcW w:w="616"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215</w:t>
            </w:r>
          </w:p>
        </w:tc>
        <w:tc>
          <w:tcPr>
            <w:tcW w:w="701"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416</w:t>
            </w:r>
          </w:p>
        </w:tc>
        <w:tc>
          <w:tcPr>
            <w:tcW w:w="535"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387</w:t>
            </w:r>
          </w:p>
        </w:tc>
        <w:tc>
          <w:tcPr>
            <w:tcW w:w="653"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14</w:t>
            </w:r>
          </w:p>
        </w:tc>
        <w:tc>
          <w:tcPr>
            <w:tcW w:w="653"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13</w:t>
            </w:r>
          </w:p>
        </w:tc>
        <w:tc>
          <w:tcPr>
            <w:tcW w:w="568"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2</w:t>
            </w:r>
          </w:p>
        </w:tc>
        <w:tc>
          <w:tcPr>
            <w:tcW w:w="614"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184</w:t>
            </w:r>
          </w:p>
        </w:tc>
        <w:tc>
          <w:tcPr>
            <w:tcW w:w="720"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1084</w:t>
            </w:r>
          </w:p>
        </w:tc>
      </w:tr>
      <w:tr>
        <w:tblPrEx>
          <w:tblLayout w:type="fixed"/>
          <w:tblCellMar>
            <w:top w:w="0" w:type="dxa"/>
            <w:left w:w="108" w:type="dxa"/>
            <w:bottom w:w="0" w:type="dxa"/>
            <w:right w:w="108" w:type="dxa"/>
          </w:tblCellMar>
        </w:tblPrEx>
        <w:trPr>
          <w:trHeight w:val="567" w:hRule="atLeast"/>
          <w:jc w:val="center"/>
        </w:trPr>
        <w:tc>
          <w:tcPr>
            <w:tcW w:w="898" w:type="dxa"/>
            <w:tcBorders>
              <w:top w:val="nil"/>
              <w:left w:val="single" w:color="auto" w:sz="4" w:space="0"/>
              <w:bottom w:val="single" w:color="auto" w:sz="4" w:space="0"/>
              <w:right w:val="single" w:color="auto" w:sz="4" w:space="0"/>
            </w:tcBorders>
            <w:vAlign w:val="center"/>
          </w:tcPr>
          <w:p>
            <w:pPr>
              <w:widowControl/>
              <w:jc w:val="center"/>
              <w:rPr>
                <w:rFonts w:ascii="仿宋_GB2312" w:eastAsia="仿宋_GB2312"/>
                <w:kern w:val="0"/>
                <w:sz w:val="20"/>
                <w:szCs w:val="20"/>
              </w:rPr>
            </w:pPr>
            <w:r>
              <w:rPr>
                <w:rFonts w:hint="eastAsia" w:ascii="仿宋_GB2312" w:eastAsia="仿宋_GB2312"/>
                <w:kern w:val="0"/>
                <w:sz w:val="20"/>
                <w:szCs w:val="20"/>
              </w:rPr>
              <w:t>2019年</w:t>
            </w:r>
          </w:p>
        </w:tc>
        <w:tc>
          <w:tcPr>
            <w:tcW w:w="692"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6460</w:t>
            </w:r>
          </w:p>
        </w:tc>
        <w:tc>
          <w:tcPr>
            <w:tcW w:w="710"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5342</w:t>
            </w:r>
          </w:p>
        </w:tc>
        <w:tc>
          <w:tcPr>
            <w:tcW w:w="720"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1050</w:t>
            </w:r>
          </w:p>
        </w:tc>
        <w:tc>
          <w:tcPr>
            <w:tcW w:w="720"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166</w:t>
            </w:r>
          </w:p>
        </w:tc>
        <w:tc>
          <w:tcPr>
            <w:tcW w:w="786"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3666</w:t>
            </w:r>
          </w:p>
        </w:tc>
        <w:tc>
          <w:tcPr>
            <w:tcW w:w="616"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460</w:t>
            </w:r>
          </w:p>
        </w:tc>
        <w:tc>
          <w:tcPr>
            <w:tcW w:w="701"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412</w:t>
            </w:r>
          </w:p>
        </w:tc>
        <w:tc>
          <w:tcPr>
            <w:tcW w:w="535"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340</w:t>
            </w:r>
          </w:p>
        </w:tc>
        <w:tc>
          <w:tcPr>
            <w:tcW w:w="653"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36</w:t>
            </w:r>
          </w:p>
        </w:tc>
        <w:tc>
          <w:tcPr>
            <w:tcW w:w="653"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36</w:t>
            </w:r>
          </w:p>
        </w:tc>
        <w:tc>
          <w:tcPr>
            <w:tcW w:w="568"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0</w:t>
            </w:r>
          </w:p>
        </w:tc>
        <w:tc>
          <w:tcPr>
            <w:tcW w:w="614"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167</w:t>
            </w:r>
          </w:p>
        </w:tc>
        <w:tc>
          <w:tcPr>
            <w:tcW w:w="720"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951</w:t>
            </w:r>
          </w:p>
        </w:tc>
      </w:tr>
      <w:tr>
        <w:tblPrEx>
          <w:tblLayout w:type="fixed"/>
          <w:tblCellMar>
            <w:top w:w="0" w:type="dxa"/>
            <w:left w:w="108" w:type="dxa"/>
            <w:bottom w:w="0" w:type="dxa"/>
            <w:right w:w="108" w:type="dxa"/>
          </w:tblCellMar>
        </w:tblPrEx>
        <w:trPr>
          <w:trHeight w:val="567" w:hRule="atLeast"/>
          <w:jc w:val="center"/>
        </w:trPr>
        <w:tc>
          <w:tcPr>
            <w:tcW w:w="898" w:type="dxa"/>
            <w:tcBorders>
              <w:top w:val="nil"/>
              <w:left w:val="single" w:color="auto" w:sz="4" w:space="0"/>
              <w:bottom w:val="single" w:color="auto" w:sz="4" w:space="0"/>
              <w:right w:val="single" w:color="auto" w:sz="4" w:space="0"/>
            </w:tcBorders>
            <w:vAlign w:val="center"/>
          </w:tcPr>
          <w:p>
            <w:pPr>
              <w:widowControl/>
              <w:jc w:val="center"/>
              <w:rPr>
                <w:rFonts w:ascii="仿宋_GB2312" w:eastAsia="仿宋_GB2312"/>
                <w:kern w:val="0"/>
                <w:sz w:val="20"/>
                <w:szCs w:val="20"/>
              </w:rPr>
            </w:pPr>
            <w:r>
              <w:rPr>
                <w:rFonts w:hint="eastAsia" w:ascii="仿宋_GB2312" w:eastAsia="仿宋_GB2312"/>
                <w:kern w:val="0"/>
                <w:sz w:val="20"/>
                <w:szCs w:val="20"/>
              </w:rPr>
              <w:t>2020年</w:t>
            </w:r>
          </w:p>
        </w:tc>
        <w:tc>
          <w:tcPr>
            <w:tcW w:w="692"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6390</w:t>
            </w:r>
          </w:p>
        </w:tc>
        <w:tc>
          <w:tcPr>
            <w:tcW w:w="710"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5090</w:t>
            </w:r>
          </w:p>
        </w:tc>
        <w:tc>
          <w:tcPr>
            <w:tcW w:w="720"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1043</w:t>
            </w:r>
          </w:p>
        </w:tc>
        <w:tc>
          <w:tcPr>
            <w:tcW w:w="720"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156</w:t>
            </w:r>
          </w:p>
        </w:tc>
        <w:tc>
          <w:tcPr>
            <w:tcW w:w="786"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3576</w:t>
            </w:r>
          </w:p>
        </w:tc>
        <w:tc>
          <w:tcPr>
            <w:tcW w:w="616"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315</w:t>
            </w:r>
          </w:p>
        </w:tc>
        <w:tc>
          <w:tcPr>
            <w:tcW w:w="701"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552</w:t>
            </w:r>
          </w:p>
        </w:tc>
        <w:tc>
          <w:tcPr>
            <w:tcW w:w="535"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316</w:t>
            </w:r>
          </w:p>
        </w:tc>
        <w:tc>
          <w:tcPr>
            <w:tcW w:w="653"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14</w:t>
            </w:r>
          </w:p>
        </w:tc>
        <w:tc>
          <w:tcPr>
            <w:tcW w:w="653"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27</w:t>
            </w:r>
          </w:p>
        </w:tc>
        <w:tc>
          <w:tcPr>
            <w:tcW w:w="568"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195</w:t>
            </w:r>
          </w:p>
        </w:tc>
        <w:tc>
          <w:tcPr>
            <w:tcW w:w="614"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157</w:t>
            </w:r>
          </w:p>
        </w:tc>
        <w:tc>
          <w:tcPr>
            <w:tcW w:w="720"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1143</w:t>
            </w:r>
          </w:p>
        </w:tc>
      </w:tr>
      <w:tr>
        <w:tblPrEx>
          <w:tblLayout w:type="fixed"/>
          <w:tblCellMar>
            <w:top w:w="0" w:type="dxa"/>
            <w:left w:w="108" w:type="dxa"/>
            <w:bottom w:w="0" w:type="dxa"/>
            <w:right w:w="108" w:type="dxa"/>
          </w:tblCellMar>
        </w:tblPrEx>
        <w:trPr>
          <w:trHeight w:val="567" w:hRule="atLeast"/>
          <w:jc w:val="center"/>
        </w:trPr>
        <w:tc>
          <w:tcPr>
            <w:tcW w:w="898" w:type="dxa"/>
            <w:tcBorders>
              <w:top w:val="nil"/>
              <w:left w:val="single" w:color="auto" w:sz="4" w:space="0"/>
              <w:bottom w:val="single" w:color="auto" w:sz="4" w:space="0"/>
              <w:right w:val="single" w:color="auto" w:sz="4" w:space="0"/>
            </w:tcBorders>
            <w:vAlign w:val="center"/>
          </w:tcPr>
          <w:p>
            <w:pPr>
              <w:widowControl/>
              <w:jc w:val="center"/>
              <w:rPr>
                <w:rFonts w:ascii="仿宋_GB2312" w:eastAsia="仿宋_GB2312"/>
                <w:kern w:val="0"/>
                <w:sz w:val="20"/>
                <w:szCs w:val="20"/>
              </w:rPr>
            </w:pPr>
            <w:r>
              <w:rPr>
                <w:rFonts w:hint="eastAsia" w:ascii="仿宋_GB2312" w:eastAsia="仿宋_GB2312"/>
                <w:kern w:val="0"/>
                <w:sz w:val="20"/>
                <w:szCs w:val="20"/>
              </w:rPr>
              <w:t>2021年</w:t>
            </w:r>
          </w:p>
        </w:tc>
        <w:tc>
          <w:tcPr>
            <w:tcW w:w="692"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6488</w:t>
            </w:r>
          </w:p>
        </w:tc>
        <w:tc>
          <w:tcPr>
            <w:tcW w:w="710"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5179</w:t>
            </w:r>
          </w:p>
        </w:tc>
        <w:tc>
          <w:tcPr>
            <w:tcW w:w="720"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968</w:t>
            </w:r>
          </w:p>
        </w:tc>
        <w:tc>
          <w:tcPr>
            <w:tcW w:w="720"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100</w:t>
            </w:r>
          </w:p>
        </w:tc>
        <w:tc>
          <w:tcPr>
            <w:tcW w:w="786"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3900</w:t>
            </w:r>
          </w:p>
        </w:tc>
        <w:tc>
          <w:tcPr>
            <w:tcW w:w="616"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211</w:t>
            </w:r>
          </w:p>
        </w:tc>
        <w:tc>
          <w:tcPr>
            <w:tcW w:w="701"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525</w:t>
            </w:r>
          </w:p>
        </w:tc>
        <w:tc>
          <w:tcPr>
            <w:tcW w:w="535"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312</w:t>
            </w:r>
          </w:p>
        </w:tc>
        <w:tc>
          <w:tcPr>
            <w:tcW w:w="653"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16</w:t>
            </w:r>
          </w:p>
        </w:tc>
        <w:tc>
          <w:tcPr>
            <w:tcW w:w="653"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28</w:t>
            </w:r>
          </w:p>
        </w:tc>
        <w:tc>
          <w:tcPr>
            <w:tcW w:w="568"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168</w:t>
            </w:r>
          </w:p>
        </w:tc>
        <w:tc>
          <w:tcPr>
            <w:tcW w:w="614"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143</w:t>
            </w:r>
          </w:p>
        </w:tc>
        <w:tc>
          <w:tcPr>
            <w:tcW w:w="720" w:type="dxa"/>
            <w:tcBorders>
              <w:top w:val="nil"/>
              <w:left w:val="nil"/>
              <w:bottom w:val="single" w:color="auto" w:sz="4" w:space="0"/>
              <w:right w:val="single" w:color="auto" w:sz="4" w:space="0"/>
            </w:tcBorders>
            <w:vAlign w:val="center"/>
          </w:tcPr>
          <w:p>
            <w:pPr>
              <w:jc w:val="center"/>
              <w:rPr>
                <w:rFonts w:ascii="仿宋_GB2312" w:eastAsia="仿宋_GB2312"/>
                <w:color w:val="000000"/>
                <w:szCs w:val="21"/>
              </w:rPr>
            </w:pPr>
            <w:r>
              <w:rPr>
                <w:rFonts w:hint="eastAsia" w:ascii="仿宋_GB2312" w:eastAsia="仿宋_GB2312"/>
                <w:color w:val="000000"/>
                <w:szCs w:val="21"/>
              </w:rPr>
              <w:t>1166</w:t>
            </w:r>
          </w:p>
        </w:tc>
      </w:tr>
    </w:tbl>
    <w:p>
      <w:pPr>
        <w:rPr>
          <w:rFonts w:ascii="仿宋_GB2312" w:eastAsia="仿宋_GB2312"/>
          <w:szCs w:val="32"/>
        </w:rPr>
      </w:pPr>
    </w:p>
    <w:p>
      <w:pPr>
        <w:spacing w:line="560" w:lineRule="exact"/>
        <w:ind w:firstLine="643" w:firstLineChars="200"/>
        <w:rPr>
          <w:rFonts w:ascii="楷体_GB2312" w:eastAsia="楷体_GB2312"/>
          <w:b/>
          <w:sz w:val="32"/>
          <w:szCs w:val="32"/>
        </w:rPr>
      </w:pPr>
      <w:r>
        <w:rPr>
          <w:rFonts w:hint="eastAsia" w:ascii="楷体_GB2312" w:eastAsia="楷体_GB2312"/>
          <w:b/>
          <w:sz w:val="32"/>
          <w:szCs w:val="32"/>
        </w:rPr>
        <w:t>（二）享受工伤保险待遇情况</w:t>
      </w:r>
    </w:p>
    <w:p>
      <w:pPr>
        <w:spacing w:line="560" w:lineRule="exact"/>
        <w:ind w:firstLine="643" w:firstLineChars="200"/>
        <w:rPr>
          <w:rFonts w:ascii="仿宋_GB2312" w:eastAsia="仿宋_GB2312"/>
          <w:b/>
          <w:sz w:val="32"/>
          <w:szCs w:val="32"/>
        </w:rPr>
      </w:pPr>
      <w:r>
        <w:rPr>
          <w:rFonts w:hint="eastAsia" w:ascii="仿宋_GB2312" w:eastAsia="仿宋_GB2312"/>
          <w:b/>
          <w:sz w:val="32"/>
          <w:szCs w:val="32"/>
        </w:rPr>
        <w:t>1.享受伤残待遇情况</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一次性伤残补助金。</w:t>
      </w:r>
      <w:r>
        <w:rPr>
          <w:rFonts w:hint="eastAsia" w:ascii="仿宋_GB2312" w:eastAsia="仿宋_GB2312"/>
          <w:sz w:val="32"/>
          <w:szCs w:val="32"/>
        </w:rPr>
        <w:t>共有3529人领取一次性伤残补助金，比上年增加267人，增长8.19%；比2017年增加969人，年平均增长8.36%。当年一次性伤残补助金支出16451.37万元，比上年增加438.64万元，增长2.74%；比2017年增加5642.81万元，年平均增长11.07%。</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伤残津贴。</w:t>
      </w:r>
      <w:r>
        <w:rPr>
          <w:rFonts w:hint="eastAsia" w:ascii="仿宋_GB2312" w:eastAsia="仿宋_GB2312"/>
          <w:sz w:val="32"/>
          <w:szCs w:val="32"/>
        </w:rPr>
        <w:t>共有10425人次领取伤残津贴，比上年减少330    人次，降低3.07%；比2017年增加622人次，年平均增长1.55%。伤残津贴支出4093.53万元，比上年减少119.09万元，降低2.83%；比2017年增加725.09万元，年平均增长4.99%。</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生活护理费。</w:t>
      </w:r>
      <w:r>
        <w:rPr>
          <w:rFonts w:hint="eastAsia" w:ascii="仿宋_GB2312" w:eastAsia="仿宋_GB2312"/>
          <w:sz w:val="32"/>
          <w:szCs w:val="32"/>
        </w:rPr>
        <w:t>共有6688人次领取生活护理费，比上年减少409人次，降低5.76%；比2017年增加3231人次，年平均增长17.94%。生活护理费支出1734.51万元，比上年增加99.75万元，增长6.01%；比2017年增加1071.12万元，年平均增长27.16%。</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辅助器具配置费。</w:t>
      </w:r>
      <w:r>
        <w:rPr>
          <w:rFonts w:hint="eastAsia" w:ascii="仿宋_GB2312" w:eastAsia="仿宋_GB2312"/>
          <w:sz w:val="32"/>
          <w:szCs w:val="32"/>
        </w:rPr>
        <w:t>一至十级伤残职工中配置辅助器具的有153人次，比上年减少64人次；比2017年减少1人次，年平均减少0.16%。辅助器具配置支出127.71万元，比上年减少71.75万元；比2017年增加14.5万元，年平均增长3.06%。</w:t>
      </w:r>
    </w:p>
    <w:p>
      <w:pPr>
        <w:spacing w:line="560" w:lineRule="exact"/>
        <w:ind w:firstLine="643" w:firstLineChars="200"/>
        <w:rPr>
          <w:rFonts w:ascii="仿宋_GB2312" w:eastAsia="仿宋_GB2312"/>
          <w:b/>
          <w:sz w:val="32"/>
          <w:szCs w:val="32"/>
        </w:rPr>
      </w:pPr>
      <w:r>
        <w:rPr>
          <w:rFonts w:hint="eastAsia" w:ascii="仿宋_GB2312" w:eastAsia="仿宋_GB2312"/>
          <w:b/>
          <w:sz w:val="32"/>
          <w:szCs w:val="32"/>
        </w:rPr>
        <w:t>2.享受工亡待遇情况</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一次性工亡补助金标准。</w:t>
      </w:r>
      <w:r>
        <w:rPr>
          <w:rFonts w:hint="eastAsia" w:ascii="仿宋_GB2312" w:eastAsia="仿宋_GB2312"/>
          <w:sz w:val="32"/>
          <w:szCs w:val="32"/>
        </w:rPr>
        <w:t>一次性工亡补助金标准为87.67万元，比上年增加2.95万元，增长3.48%。</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丧葬补助金。</w:t>
      </w:r>
      <w:r>
        <w:rPr>
          <w:rFonts w:hint="eastAsia" w:ascii="仿宋_GB2312" w:eastAsia="仿宋_GB2312"/>
          <w:sz w:val="32"/>
          <w:szCs w:val="32"/>
        </w:rPr>
        <w:t>丧葬补助金标准为50916元，比上年增加6840元，增长15.52%；比2017年增加16998元，年平均增长10.69%。</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供养亲属抚恤金。</w:t>
      </w:r>
      <w:r>
        <w:rPr>
          <w:rFonts w:hint="eastAsia" w:ascii="仿宋_GB2312" w:eastAsia="仿宋_GB2312"/>
          <w:sz w:val="32"/>
          <w:szCs w:val="32"/>
        </w:rPr>
        <w:t>月人均供养亲属抚恤金1490元，比上年增加33元，增长2.28%。</w:t>
      </w:r>
    </w:p>
    <w:p>
      <w:pPr>
        <w:spacing w:line="560" w:lineRule="exact"/>
        <w:ind w:firstLine="643" w:firstLineChars="200"/>
        <w:rPr>
          <w:rFonts w:ascii="仿宋_GB2312" w:eastAsia="仿宋_GB2312"/>
          <w:b/>
          <w:sz w:val="32"/>
          <w:szCs w:val="32"/>
        </w:rPr>
      </w:pPr>
      <w:r>
        <w:rPr>
          <w:rFonts w:hint="eastAsia" w:ascii="仿宋_GB2312" w:eastAsia="仿宋_GB2312"/>
          <w:b/>
          <w:sz w:val="32"/>
          <w:szCs w:val="32"/>
        </w:rPr>
        <w:t>3.享受工伤医疗待遇情况</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门（急）诊和住院待遇共计25302人次，比上年增加2724人次，增长12.06%；比2017年增加14645人次，年平均增长24.13%。门（急）诊和住院费用支出共计8402.22万元，比上年减少1071.92万元，降低11.31%；比2017年增加1568.73万元，年平均增长5.3%。</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领取一次性医疗补助金1278人，比上年增加296人，增加30.14%。</w:t>
      </w:r>
    </w:p>
    <w:p>
      <w:pPr>
        <w:spacing w:line="560" w:lineRule="exact"/>
        <w:ind w:firstLine="643" w:firstLineChars="200"/>
        <w:rPr>
          <w:rFonts w:ascii="仿宋_GB2312" w:eastAsia="仿宋_GB2312"/>
          <w:b/>
          <w:sz w:val="32"/>
          <w:szCs w:val="32"/>
        </w:rPr>
      </w:pPr>
      <w:r>
        <w:rPr>
          <w:rFonts w:hint="eastAsia" w:ascii="仿宋_GB2312" w:eastAsia="仿宋_GB2312"/>
          <w:b/>
          <w:sz w:val="32"/>
          <w:szCs w:val="32"/>
        </w:rPr>
        <w:t>4.工伤康复待遇情况</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享受工伤康复待遇共计41人次,比上年增加31人次，增长310%；康复待遇支出72.74万元。</w:t>
      </w:r>
    </w:p>
    <w:p>
      <w:pPr>
        <w:spacing w:line="600" w:lineRule="exact"/>
        <w:ind w:firstLine="640" w:firstLineChars="200"/>
        <w:rPr>
          <w:rFonts w:ascii="仿宋_GB2312" w:eastAsia="仿宋_GB2312"/>
          <w:sz w:val="32"/>
          <w:szCs w:val="32"/>
        </w:rPr>
      </w:pPr>
    </w:p>
    <w:p>
      <w:pPr>
        <w:autoSpaceDE w:val="0"/>
        <w:autoSpaceDN w:val="0"/>
        <w:adjustRightInd w:val="0"/>
        <w:snapToGrid w:val="0"/>
        <w:spacing w:line="600" w:lineRule="exact"/>
        <w:jc w:val="center"/>
        <w:rPr>
          <w:rFonts w:ascii="黑体" w:hAnsi="黑体" w:eastAsia="黑体"/>
          <w:kern w:val="0"/>
          <w:sz w:val="32"/>
          <w:szCs w:val="32"/>
        </w:rPr>
      </w:pPr>
      <w:r>
        <w:rPr>
          <w:rFonts w:hint="eastAsia" w:ascii="黑体" w:hAnsi="黑体" w:eastAsia="黑体"/>
          <w:kern w:val="0"/>
          <w:sz w:val="32"/>
          <w:szCs w:val="32"/>
        </w:rPr>
        <w:t>第三部分  失业保险</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 </w:t>
      </w:r>
    </w:p>
    <w:p>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一、参保情况</w:t>
      </w:r>
    </w:p>
    <w:p>
      <w:pPr>
        <w:ind w:firstLine="643" w:firstLineChars="200"/>
        <w:rPr>
          <w:rFonts w:hint="eastAsia" w:ascii="仿宋_GB2312" w:eastAsia="仿宋_GB2312"/>
          <w:szCs w:val="21"/>
        </w:rPr>
      </w:pPr>
      <w:r>
        <w:rPr>
          <w:rFonts w:hint="eastAsia" w:ascii="楷体_GB2312" w:eastAsia="楷体_GB2312"/>
          <w:b/>
          <w:bCs/>
          <w:sz w:val="32"/>
          <w:szCs w:val="32"/>
        </w:rPr>
        <w:t>（一）基本情况。</w:t>
      </w:r>
      <w:r>
        <w:rPr>
          <w:rFonts w:hint="eastAsia" w:ascii="仿宋_GB2312" w:eastAsia="仿宋_GB2312"/>
          <w:sz w:val="32"/>
          <w:szCs w:val="32"/>
        </w:rPr>
        <w:t>截至2021年底，参加失业保险人数为109.07万人，比上年末增加6.34万人，增长6.17%；比2017年增加20.52万人，年平均增长5.79%。</w:t>
      </w:r>
    </w:p>
    <w:p>
      <w:pPr>
        <w:jc w:val="center"/>
        <w:rPr>
          <w:rFonts w:hint="eastAsia" w:ascii="仿宋_GB2312" w:eastAsia="仿宋_GB2312"/>
        </w:rPr>
      </w:pPr>
      <w:r>
        <w:rPr>
          <w:rFonts w:hint="eastAsia" w:ascii="仿宋_GB2312" w:eastAsia="仿宋_GB2312"/>
        </w:rPr>
        <w:t xml:space="preserve"> </w:t>
      </w:r>
    </w:p>
    <w:p>
      <w:pPr>
        <w:jc w:val="center"/>
        <w:rPr>
          <w:rFonts w:hint="eastAsia" w:ascii="仿宋_GB2312" w:eastAsia="仿宋_GB2312"/>
        </w:rPr>
      </w:pPr>
      <w:r>
        <w:drawing>
          <wp:inline distT="0" distB="0" distL="0" distR="0">
            <wp:extent cx="5695950" cy="2705100"/>
            <wp:effectExtent l="0" t="0" r="0" b="0"/>
            <wp:docPr id="3" name="图片 3" descr="C:\Users\ADMINI~1\AppData\Local\Temp\ksohtml\wpsE9A3.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ksohtml\wpsE9A3.tmp.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695950" cy="2705100"/>
                    </a:xfrm>
                    <a:prstGeom prst="rect">
                      <a:avLst/>
                    </a:prstGeom>
                    <a:noFill/>
                    <a:ln>
                      <a:noFill/>
                    </a:ln>
                  </pic:spPr>
                </pic:pic>
              </a:graphicData>
            </a:graphic>
          </wp:inline>
        </w:drawing>
      </w:r>
      <w:r>
        <w:rPr>
          <w:rFonts w:hint="eastAsia" w:ascii="仿宋_GB2312" w:eastAsia="仿宋_GB2312"/>
        </w:rPr>
        <w:t xml:space="preserve"> </w:t>
      </w:r>
    </w:p>
    <w:p>
      <w:pPr>
        <w:ind w:firstLine="560" w:firstLineChars="200"/>
        <w:jc w:val="center"/>
        <w:rPr>
          <w:rFonts w:hint="eastAsia" w:ascii="仿宋_GB2312" w:eastAsia="仿宋_GB2312"/>
          <w:b/>
          <w:bCs/>
          <w:sz w:val="32"/>
          <w:szCs w:val="32"/>
        </w:rPr>
      </w:pPr>
      <w:r>
        <w:rPr>
          <w:rFonts w:hint="eastAsia" w:ascii="仿宋_GB2312" w:eastAsia="仿宋_GB2312"/>
          <w:sz w:val="28"/>
          <w:szCs w:val="28"/>
        </w:rPr>
        <w:t>图3-1：2017年-2021年失业保险参保人数及增长率情况</w:t>
      </w:r>
    </w:p>
    <w:p>
      <w:pPr>
        <w:spacing w:line="560" w:lineRule="exact"/>
        <w:ind w:firstLine="643" w:firstLineChars="200"/>
        <w:rPr>
          <w:rFonts w:hint="eastAsia" w:ascii="仿宋_GB2312" w:eastAsia="仿宋_GB2312"/>
          <w:sz w:val="32"/>
          <w:szCs w:val="32"/>
        </w:rPr>
      </w:pPr>
      <w:r>
        <w:rPr>
          <w:rFonts w:hint="eastAsia" w:ascii="楷体_GB2312" w:eastAsia="楷体_GB2312"/>
          <w:b/>
          <w:bCs/>
          <w:sz w:val="32"/>
          <w:szCs w:val="32"/>
        </w:rPr>
        <w:t>（二）分地区情况。</w:t>
      </w:r>
      <w:r>
        <w:rPr>
          <w:rFonts w:hint="eastAsia" w:ascii="仿宋_GB2312" w:eastAsia="仿宋_GB2312"/>
          <w:sz w:val="32"/>
          <w:szCs w:val="32"/>
        </w:rPr>
        <w:t>分地区看，银川市、石嘴山市参保人数在10万人以上，其中银川市最多，达到51.55万人。</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 </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 </w:t>
      </w:r>
    </w:p>
    <w:p>
      <w:pPr>
        <w:jc w:val="center"/>
        <w:rPr>
          <w:rFonts w:hint="eastAsia" w:ascii="仿宋_GB2312" w:eastAsia="仿宋_GB2312"/>
          <w:sz w:val="28"/>
          <w:szCs w:val="28"/>
        </w:rPr>
      </w:pPr>
      <w:r>
        <w:rPr>
          <w:rFonts w:hint="eastAsia" w:ascii="仿宋_GB2312" w:eastAsia="仿宋_GB2312"/>
          <w:sz w:val="28"/>
          <w:szCs w:val="28"/>
        </w:rPr>
        <w:t xml:space="preserve"> </w:t>
      </w:r>
    </w:p>
    <w:p>
      <w:pPr>
        <w:jc w:val="center"/>
        <w:rPr>
          <w:rFonts w:hint="eastAsia" w:ascii="仿宋_GB2312" w:eastAsia="仿宋_GB2312"/>
          <w:sz w:val="28"/>
          <w:szCs w:val="28"/>
        </w:rPr>
      </w:pPr>
      <w:r>
        <w:rPr>
          <w:rFonts w:hint="eastAsia" w:ascii="仿宋_GB2312" w:eastAsia="仿宋_GB2312"/>
          <w:sz w:val="28"/>
          <w:szCs w:val="28"/>
        </w:rPr>
        <w:t>表3-1：2021年分市县失业保险参保人数情况表</w:t>
      </w:r>
    </w:p>
    <w:p>
      <w:pPr>
        <w:autoSpaceDE w:val="0"/>
        <w:autoSpaceDN w:val="0"/>
        <w:adjustRightInd w:val="0"/>
        <w:spacing w:line="360" w:lineRule="exact"/>
        <w:jc w:val="center"/>
        <w:rPr>
          <w:rFonts w:hint="eastAsia" w:ascii="仿宋_GB2312" w:eastAsia="仿宋_GB2312"/>
          <w:kern w:val="0"/>
          <w:sz w:val="28"/>
          <w:szCs w:val="28"/>
        </w:rPr>
      </w:pPr>
      <w:r>
        <w:rPr>
          <w:rFonts w:hint="eastAsia" w:ascii="仿宋_GB2312" w:eastAsia="仿宋_GB2312"/>
          <w:kern w:val="0"/>
          <w:sz w:val="28"/>
          <w:szCs w:val="28"/>
        </w:rPr>
        <w:t xml:space="preserve">                                                   单位：万人</w:t>
      </w:r>
    </w:p>
    <w:tbl>
      <w:tblPr>
        <w:tblStyle w:val="23"/>
        <w:tblW w:w="9060" w:type="dxa"/>
        <w:tblInd w:w="135" w:type="dxa"/>
        <w:tblLayout w:type="fixed"/>
        <w:tblCellMar>
          <w:top w:w="0" w:type="dxa"/>
          <w:left w:w="108" w:type="dxa"/>
          <w:bottom w:w="0" w:type="dxa"/>
          <w:right w:w="108" w:type="dxa"/>
        </w:tblCellMar>
      </w:tblPr>
      <w:tblGrid>
        <w:gridCol w:w="2429"/>
        <w:gridCol w:w="1769"/>
        <w:gridCol w:w="2653"/>
        <w:gridCol w:w="2209"/>
      </w:tblGrid>
      <w:tr>
        <w:tblPrEx>
          <w:tblLayout w:type="fixed"/>
          <w:tblCellMar>
            <w:top w:w="0" w:type="dxa"/>
            <w:left w:w="108" w:type="dxa"/>
            <w:bottom w:w="0" w:type="dxa"/>
            <w:right w:w="108" w:type="dxa"/>
          </w:tblCellMar>
        </w:tblPrEx>
        <w:trPr>
          <w:trHeight w:val="416" w:hRule="atLeast"/>
        </w:trPr>
        <w:tc>
          <w:tcPr>
            <w:tcW w:w="242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szCs w:val="21"/>
              </w:rPr>
            </w:pPr>
            <w:r>
              <w:rPr>
                <w:rFonts w:hint="eastAsia" w:ascii="仿宋_GB2312" w:eastAsia="仿宋_GB2312"/>
              </w:rPr>
              <w:t>地  区</w:t>
            </w:r>
          </w:p>
        </w:tc>
        <w:tc>
          <w:tcPr>
            <w:tcW w:w="1769" w:type="dxa"/>
            <w:tcBorders>
              <w:top w:val="single" w:color="auto" w:sz="4" w:space="0"/>
              <w:left w:val="nil"/>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参保人数</w:t>
            </w:r>
          </w:p>
        </w:tc>
        <w:tc>
          <w:tcPr>
            <w:tcW w:w="2653" w:type="dxa"/>
            <w:tcBorders>
              <w:top w:val="single" w:color="auto" w:sz="4" w:space="0"/>
              <w:left w:val="nil"/>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地  区</w:t>
            </w:r>
          </w:p>
        </w:tc>
        <w:tc>
          <w:tcPr>
            <w:tcW w:w="2209" w:type="dxa"/>
            <w:tcBorders>
              <w:top w:val="single" w:color="auto" w:sz="4" w:space="0"/>
              <w:left w:val="nil"/>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参保人数</w:t>
            </w:r>
          </w:p>
        </w:tc>
      </w:tr>
      <w:tr>
        <w:tblPrEx>
          <w:tblLayout w:type="fixed"/>
          <w:tblCellMar>
            <w:top w:w="0" w:type="dxa"/>
            <w:left w:w="108" w:type="dxa"/>
            <w:bottom w:w="0" w:type="dxa"/>
            <w:right w:w="108" w:type="dxa"/>
          </w:tblCellMar>
        </w:tblPrEx>
        <w:trPr>
          <w:trHeight w:val="397" w:hRule="atLeast"/>
        </w:trPr>
        <w:tc>
          <w:tcPr>
            <w:tcW w:w="2429" w:type="dxa"/>
            <w:tcBorders>
              <w:top w:val="nil"/>
              <w:left w:val="single" w:color="auto" w:sz="4" w:space="0"/>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银川市</w:t>
            </w:r>
          </w:p>
        </w:tc>
        <w:tc>
          <w:tcPr>
            <w:tcW w:w="1769" w:type="dxa"/>
            <w:tcBorders>
              <w:top w:val="nil"/>
              <w:left w:val="nil"/>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51.55</w:t>
            </w:r>
          </w:p>
        </w:tc>
        <w:tc>
          <w:tcPr>
            <w:tcW w:w="2653" w:type="dxa"/>
            <w:tcBorders>
              <w:top w:val="nil"/>
              <w:left w:val="nil"/>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红寺堡</w:t>
            </w:r>
          </w:p>
        </w:tc>
        <w:tc>
          <w:tcPr>
            <w:tcW w:w="2209" w:type="dxa"/>
            <w:tcBorders>
              <w:top w:val="nil"/>
              <w:left w:val="nil"/>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0.7</w:t>
            </w:r>
          </w:p>
        </w:tc>
      </w:tr>
      <w:tr>
        <w:tblPrEx>
          <w:tblLayout w:type="fixed"/>
          <w:tblCellMar>
            <w:top w:w="0" w:type="dxa"/>
            <w:left w:w="108" w:type="dxa"/>
            <w:bottom w:w="0" w:type="dxa"/>
            <w:right w:w="108" w:type="dxa"/>
          </w:tblCellMar>
        </w:tblPrEx>
        <w:trPr>
          <w:trHeight w:val="397" w:hRule="atLeast"/>
        </w:trPr>
        <w:tc>
          <w:tcPr>
            <w:tcW w:w="2429" w:type="dxa"/>
            <w:tcBorders>
              <w:top w:val="nil"/>
              <w:left w:val="single" w:color="auto" w:sz="4" w:space="0"/>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灵武市</w:t>
            </w:r>
          </w:p>
        </w:tc>
        <w:tc>
          <w:tcPr>
            <w:tcW w:w="1769" w:type="dxa"/>
            <w:tcBorders>
              <w:top w:val="nil"/>
              <w:left w:val="nil"/>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1.66</w:t>
            </w:r>
          </w:p>
        </w:tc>
        <w:tc>
          <w:tcPr>
            <w:tcW w:w="2653" w:type="dxa"/>
            <w:tcBorders>
              <w:top w:val="nil"/>
              <w:left w:val="nil"/>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固原市</w:t>
            </w:r>
          </w:p>
        </w:tc>
        <w:tc>
          <w:tcPr>
            <w:tcW w:w="2209" w:type="dxa"/>
            <w:tcBorders>
              <w:top w:val="nil"/>
              <w:left w:val="nil"/>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4.69</w:t>
            </w:r>
          </w:p>
        </w:tc>
      </w:tr>
      <w:tr>
        <w:tblPrEx>
          <w:tblLayout w:type="fixed"/>
          <w:tblCellMar>
            <w:top w:w="0" w:type="dxa"/>
            <w:left w:w="108" w:type="dxa"/>
            <w:bottom w:w="0" w:type="dxa"/>
            <w:right w:w="108" w:type="dxa"/>
          </w:tblCellMar>
        </w:tblPrEx>
        <w:trPr>
          <w:trHeight w:val="397" w:hRule="atLeast"/>
        </w:trPr>
        <w:tc>
          <w:tcPr>
            <w:tcW w:w="2429" w:type="dxa"/>
            <w:tcBorders>
              <w:top w:val="nil"/>
              <w:left w:val="single" w:color="auto" w:sz="4" w:space="0"/>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永宁县</w:t>
            </w:r>
          </w:p>
        </w:tc>
        <w:tc>
          <w:tcPr>
            <w:tcW w:w="1769" w:type="dxa"/>
            <w:tcBorders>
              <w:top w:val="nil"/>
              <w:left w:val="nil"/>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3.44</w:t>
            </w:r>
          </w:p>
        </w:tc>
        <w:tc>
          <w:tcPr>
            <w:tcW w:w="2653" w:type="dxa"/>
            <w:tcBorders>
              <w:top w:val="nil"/>
              <w:left w:val="nil"/>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西吉县</w:t>
            </w:r>
          </w:p>
        </w:tc>
        <w:tc>
          <w:tcPr>
            <w:tcW w:w="2209" w:type="dxa"/>
            <w:tcBorders>
              <w:top w:val="nil"/>
              <w:left w:val="nil"/>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1.38</w:t>
            </w:r>
          </w:p>
        </w:tc>
      </w:tr>
      <w:tr>
        <w:tblPrEx>
          <w:tblLayout w:type="fixed"/>
          <w:tblCellMar>
            <w:top w:w="0" w:type="dxa"/>
            <w:left w:w="108" w:type="dxa"/>
            <w:bottom w:w="0" w:type="dxa"/>
            <w:right w:w="108" w:type="dxa"/>
          </w:tblCellMar>
        </w:tblPrEx>
        <w:trPr>
          <w:trHeight w:val="397" w:hRule="atLeast"/>
        </w:trPr>
        <w:tc>
          <w:tcPr>
            <w:tcW w:w="2429" w:type="dxa"/>
            <w:tcBorders>
              <w:top w:val="nil"/>
              <w:left w:val="single" w:color="auto" w:sz="4" w:space="0"/>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贺兰县</w:t>
            </w:r>
          </w:p>
        </w:tc>
        <w:tc>
          <w:tcPr>
            <w:tcW w:w="1769" w:type="dxa"/>
            <w:tcBorders>
              <w:top w:val="nil"/>
              <w:left w:val="nil"/>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3.51</w:t>
            </w:r>
          </w:p>
        </w:tc>
        <w:tc>
          <w:tcPr>
            <w:tcW w:w="2653" w:type="dxa"/>
            <w:tcBorders>
              <w:top w:val="nil"/>
              <w:left w:val="nil"/>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隆德县</w:t>
            </w:r>
          </w:p>
        </w:tc>
        <w:tc>
          <w:tcPr>
            <w:tcW w:w="2209" w:type="dxa"/>
            <w:tcBorders>
              <w:top w:val="nil"/>
              <w:left w:val="nil"/>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0.55</w:t>
            </w:r>
          </w:p>
        </w:tc>
      </w:tr>
      <w:tr>
        <w:tblPrEx>
          <w:tblLayout w:type="fixed"/>
          <w:tblCellMar>
            <w:top w:w="0" w:type="dxa"/>
            <w:left w:w="108" w:type="dxa"/>
            <w:bottom w:w="0" w:type="dxa"/>
            <w:right w:w="108" w:type="dxa"/>
          </w:tblCellMar>
        </w:tblPrEx>
        <w:trPr>
          <w:trHeight w:val="397" w:hRule="atLeast"/>
        </w:trPr>
        <w:tc>
          <w:tcPr>
            <w:tcW w:w="2429" w:type="dxa"/>
            <w:tcBorders>
              <w:top w:val="nil"/>
              <w:left w:val="single" w:color="auto" w:sz="4" w:space="0"/>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石嘴山市</w:t>
            </w:r>
          </w:p>
        </w:tc>
        <w:tc>
          <w:tcPr>
            <w:tcW w:w="1769" w:type="dxa"/>
            <w:tcBorders>
              <w:top w:val="nil"/>
              <w:left w:val="nil"/>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10.99</w:t>
            </w:r>
          </w:p>
        </w:tc>
        <w:tc>
          <w:tcPr>
            <w:tcW w:w="2653" w:type="dxa"/>
            <w:tcBorders>
              <w:top w:val="nil"/>
              <w:left w:val="nil"/>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泾源县</w:t>
            </w:r>
          </w:p>
        </w:tc>
        <w:tc>
          <w:tcPr>
            <w:tcW w:w="2209" w:type="dxa"/>
            <w:tcBorders>
              <w:top w:val="nil"/>
              <w:left w:val="nil"/>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0.4</w:t>
            </w:r>
          </w:p>
        </w:tc>
      </w:tr>
      <w:tr>
        <w:tblPrEx>
          <w:tblLayout w:type="fixed"/>
          <w:tblCellMar>
            <w:top w:w="0" w:type="dxa"/>
            <w:left w:w="108" w:type="dxa"/>
            <w:bottom w:w="0" w:type="dxa"/>
            <w:right w:w="108" w:type="dxa"/>
          </w:tblCellMar>
        </w:tblPrEx>
        <w:trPr>
          <w:trHeight w:val="397" w:hRule="atLeast"/>
        </w:trPr>
        <w:tc>
          <w:tcPr>
            <w:tcW w:w="2429" w:type="dxa"/>
            <w:tcBorders>
              <w:top w:val="nil"/>
              <w:left w:val="single" w:color="auto" w:sz="4" w:space="0"/>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平罗县</w:t>
            </w:r>
          </w:p>
        </w:tc>
        <w:tc>
          <w:tcPr>
            <w:tcW w:w="1769" w:type="dxa"/>
            <w:tcBorders>
              <w:top w:val="nil"/>
              <w:left w:val="nil"/>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2.19</w:t>
            </w:r>
          </w:p>
        </w:tc>
        <w:tc>
          <w:tcPr>
            <w:tcW w:w="2653" w:type="dxa"/>
            <w:tcBorders>
              <w:top w:val="nil"/>
              <w:left w:val="nil"/>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彭阳县</w:t>
            </w:r>
          </w:p>
        </w:tc>
        <w:tc>
          <w:tcPr>
            <w:tcW w:w="2209" w:type="dxa"/>
            <w:tcBorders>
              <w:top w:val="nil"/>
              <w:left w:val="nil"/>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1</w:t>
            </w:r>
          </w:p>
        </w:tc>
      </w:tr>
      <w:tr>
        <w:tblPrEx>
          <w:tblLayout w:type="fixed"/>
          <w:tblCellMar>
            <w:top w:w="0" w:type="dxa"/>
            <w:left w:w="108" w:type="dxa"/>
            <w:bottom w:w="0" w:type="dxa"/>
            <w:right w:w="108" w:type="dxa"/>
          </w:tblCellMar>
        </w:tblPrEx>
        <w:trPr>
          <w:trHeight w:val="397" w:hRule="atLeast"/>
        </w:trPr>
        <w:tc>
          <w:tcPr>
            <w:tcW w:w="2429" w:type="dxa"/>
            <w:tcBorders>
              <w:top w:val="nil"/>
              <w:left w:val="single" w:color="auto" w:sz="4" w:space="0"/>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吴忠市</w:t>
            </w:r>
          </w:p>
        </w:tc>
        <w:tc>
          <w:tcPr>
            <w:tcW w:w="1769" w:type="dxa"/>
            <w:tcBorders>
              <w:top w:val="nil"/>
              <w:left w:val="nil"/>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5.43</w:t>
            </w:r>
          </w:p>
        </w:tc>
        <w:tc>
          <w:tcPr>
            <w:tcW w:w="2653" w:type="dxa"/>
            <w:tcBorders>
              <w:top w:val="nil"/>
              <w:left w:val="nil"/>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中卫市</w:t>
            </w:r>
          </w:p>
        </w:tc>
        <w:tc>
          <w:tcPr>
            <w:tcW w:w="2209" w:type="dxa"/>
            <w:tcBorders>
              <w:top w:val="nil"/>
              <w:left w:val="nil"/>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4.02</w:t>
            </w:r>
          </w:p>
        </w:tc>
      </w:tr>
      <w:tr>
        <w:tblPrEx>
          <w:tblLayout w:type="fixed"/>
          <w:tblCellMar>
            <w:top w:w="0" w:type="dxa"/>
            <w:left w:w="108" w:type="dxa"/>
            <w:bottom w:w="0" w:type="dxa"/>
            <w:right w:w="108" w:type="dxa"/>
          </w:tblCellMar>
        </w:tblPrEx>
        <w:trPr>
          <w:trHeight w:val="397" w:hRule="atLeast"/>
        </w:trPr>
        <w:tc>
          <w:tcPr>
            <w:tcW w:w="2429" w:type="dxa"/>
            <w:tcBorders>
              <w:top w:val="nil"/>
              <w:left w:val="single" w:color="auto" w:sz="4" w:space="0"/>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青铜峡市</w:t>
            </w:r>
          </w:p>
        </w:tc>
        <w:tc>
          <w:tcPr>
            <w:tcW w:w="1769" w:type="dxa"/>
            <w:tcBorders>
              <w:top w:val="nil"/>
              <w:left w:val="nil"/>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4.23</w:t>
            </w:r>
          </w:p>
        </w:tc>
        <w:tc>
          <w:tcPr>
            <w:tcW w:w="2653" w:type="dxa"/>
            <w:tcBorders>
              <w:top w:val="nil"/>
              <w:left w:val="nil"/>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中宁县</w:t>
            </w:r>
          </w:p>
        </w:tc>
        <w:tc>
          <w:tcPr>
            <w:tcW w:w="2209" w:type="dxa"/>
            <w:tcBorders>
              <w:top w:val="nil"/>
              <w:left w:val="nil"/>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2.3</w:t>
            </w:r>
          </w:p>
        </w:tc>
      </w:tr>
      <w:tr>
        <w:tblPrEx>
          <w:tblLayout w:type="fixed"/>
          <w:tblCellMar>
            <w:top w:w="0" w:type="dxa"/>
            <w:left w:w="108" w:type="dxa"/>
            <w:bottom w:w="0" w:type="dxa"/>
            <w:right w:w="108" w:type="dxa"/>
          </w:tblCellMar>
        </w:tblPrEx>
        <w:trPr>
          <w:trHeight w:val="397" w:hRule="atLeast"/>
        </w:trPr>
        <w:tc>
          <w:tcPr>
            <w:tcW w:w="2429" w:type="dxa"/>
            <w:tcBorders>
              <w:top w:val="nil"/>
              <w:left w:val="single" w:color="auto" w:sz="4" w:space="0"/>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盐池县</w:t>
            </w:r>
          </w:p>
        </w:tc>
        <w:tc>
          <w:tcPr>
            <w:tcW w:w="1769" w:type="dxa"/>
            <w:tcBorders>
              <w:top w:val="nil"/>
              <w:left w:val="nil"/>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0.8</w:t>
            </w:r>
          </w:p>
        </w:tc>
        <w:tc>
          <w:tcPr>
            <w:tcW w:w="2653" w:type="dxa"/>
            <w:tcBorders>
              <w:top w:val="nil"/>
              <w:left w:val="nil"/>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海原县</w:t>
            </w:r>
          </w:p>
        </w:tc>
        <w:tc>
          <w:tcPr>
            <w:tcW w:w="2209" w:type="dxa"/>
            <w:tcBorders>
              <w:top w:val="nil"/>
              <w:left w:val="nil"/>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0.99</w:t>
            </w:r>
          </w:p>
        </w:tc>
      </w:tr>
      <w:tr>
        <w:tblPrEx>
          <w:tblLayout w:type="fixed"/>
          <w:tblCellMar>
            <w:top w:w="0" w:type="dxa"/>
            <w:left w:w="108" w:type="dxa"/>
            <w:bottom w:w="0" w:type="dxa"/>
            <w:right w:w="108" w:type="dxa"/>
          </w:tblCellMar>
        </w:tblPrEx>
        <w:trPr>
          <w:trHeight w:val="397" w:hRule="atLeast"/>
        </w:trPr>
        <w:tc>
          <w:tcPr>
            <w:tcW w:w="242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同心县</w:t>
            </w:r>
          </w:p>
        </w:tc>
        <w:tc>
          <w:tcPr>
            <w:tcW w:w="1769" w:type="dxa"/>
            <w:tcBorders>
              <w:top w:val="single" w:color="auto" w:sz="4" w:space="0"/>
              <w:left w:val="nil"/>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1.11</w:t>
            </w:r>
          </w:p>
        </w:tc>
        <w:tc>
          <w:tcPr>
            <w:tcW w:w="2653" w:type="dxa"/>
            <w:tcBorders>
              <w:top w:val="single" w:color="auto" w:sz="4" w:space="0"/>
              <w:left w:val="nil"/>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区本级</w:t>
            </w:r>
          </w:p>
        </w:tc>
        <w:tc>
          <w:tcPr>
            <w:tcW w:w="2209" w:type="dxa"/>
            <w:tcBorders>
              <w:top w:val="single" w:color="auto" w:sz="4" w:space="0"/>
              <w:left w:val="nil"/>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3.5</w:t>
            </w:r>
          </w:p>
        </w:tc>
      </w:tr>
      <w:tr>
        <w:tblPrEx>
          <w:tblLayout w:type="fixed"/>
          <w:tblCellMar>
            <w:top w:w="0" w:type="dxa"/>
            <w:left w:w="108" w:type="dxa"/>
            <w:bottom w:w="0" w:type="dxa"/>
            <w:right w:w="108" w:type="dxa"/>
          </w:tblCellMar>
        </w:tblPrEx>
        <w:trPr>
          <w:trHeight w:val="397" w:hRule="atLeast"/>
        </w:trPr>
        <w:tc>
          <w:tcPr>
            <w:tcW w:w="242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宁东</w:t>
            </w:r>
          </w:p>
        </w:tc>
        <w:tc>
          <w:tcPr>
            <w:tcW w:w="1769" w:type="dxa"/>
            <w:tcBorders>
              <w:top w:val="single" w:color="auto" w:sz="4" w:space="0"/>
              <w:left w:val="nil"/>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4.63</w:t>
            </w:r>
          </w:p>
        </w:tc>
        <w:tc>
          <w:tcPr>
            <w:tcW w:w="2653" w:type="dxa"/>
            <w:tcBorders>
              <w:top w:val="single" w:color="auto" w:sz="4" w:space="0"/>
              <w:left w:val="nil"/>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合计</w:t>
            </w:r>
          </w:p>
        </w:tc>
        <w:tc>
          <w:tcPr>
            <w:tcW w:w="2209" w:type="dxa"/>
            <w:tcBorders>
              <w:top w:val="single" w:color="auto" w:sz="4" w:space="0"/>
              <w:left w:val="nil"/>
              <w:bottom w:val="single" w:color="auto" w:sz="4" w:space="0"/>
              <w:right w:val="single" w:color="auto" w:sz="4" w:space="0"/>
            </w:tcBorders>
            <w:vAlign w:val="center"/>
          </w:tcPr>
          <w:p>
            <w:pPr>
              <w:jc w:val="center"/>
              <w:rPr>
                <w:rFonts w:hint="eastAsia" w:ascii="仿宋_GB2312" w:eastAsia="仿宋_GB2312"/>
              </w:rPr>
            </w:pPr>
            <w:r>
              <w:rPr>
                <w:rFonts w:hint="eastAsia" w:ascii="仿宋_GB2312" w:eastAsia="仿宋_GB2312"/>
              </w:rPr>
              <w:t>109.07</w:t>
            </w:r>
          </w:p>
        </w:tc>
      </w:tr>
    </w:tbl>
    <w:p>
      <w:pPr>
        <w:spacing w:line="540" w:lineRule="exact"/>
        <w:ind w:firstLine="640" w:firstLineChars="200"/>
        <w:rPr>
          <w:rFonts w:hint="eastAsia" w:ascii="仿宋_GB2312" w:eastAsia="仿宋_GB2312"/>
          <w:sz w:val="32"/>
          <w:szCs w:val="32"/>
        </w:rPr>
      </w:pPr>
      <w:r>
        <w:rPr>
          <w:rFonts w:hint="eastAsia" w:ascii="仿宋_GB2312" w:eastAsia="仿宋_GB2312"/>
          <w:sz w:val="32"/>
          <w:szCs w:val="32"/>
        </w:rPr>
        <w:t xml:space="preserve"> </w:t>
      </w:r>
    </w:p>
    <w:p>
      <w:pPr>
        <w:spacing w:line="560" w:lineRule="exact"/>
        <w:ind w:firstLine="640" w:firstLineChars="200"/>
        <w:rPr>
          <w:rFonts w:hint="eastAsia" w:ascii="黑体" w:hAnsi="黑体" w:eastAsia="黑体"/>
          <w:sz w:val="32"/>
          <w:szCs w:val="32"/>
        </w:rPr>
      </w:pPr>
      <w:r>
        <w:rPr>
          <w:rFonts w:hint="eastAsia" w:ascii="黑体" w:hAnsi="黑体" w:eastAsia="黑体"/>
          <w:sz w:val="32"/>
          <w:szCs w:val="32"/>
        </w:rPr>
        <w:t>二、基金收支情况</w:t>
      </w:r>
    </w:p>
    <w:p>
      <w:pPr>
        <w:spacing w:line="560" w:lineRule="exact"/>
        <w:ind w:firstLine="643" w:firstLineChars="200"/>
        <w:rPr>
          <w:rFonts w:hint="eastAsia" w:ascii="仿宋_GB2312" w:eastAsia="仿宋_GB2312"/>
          <w:sz w:val="32"/>
          <w:szCs w:val="32"/>
        </w:rPr>
      </w:pPr>
      <w:r>
        <w:rPr>
          <w:rFonts w:hint="eastAsia" w:ascii="楷体_GB2312" w:eastAsia="楷体_GB2312"/>
          <w:b/>
          <w:bCs/>
          <w:sz w:val="32"/>
          <w:szCs w:val="32"/>
        </w:rPr>
        <w:t>（一）基金收入情况。</w:t>
      </w:r>
      <w:r>
        <w:rPr>
          <w:rFonts w:hint="eastAsia" w:ascii="仿宋_GB2312" w:eastAsia="仿宋_GB2312"/>
          <w:sz w:val="32"/>
          <w:szCs w:val="32"/>
        </w:rPr>
        <w:t>2021年失业保险基金收入（不含上级补助收入、下级上解收入，下同）6.96亿元，比上年增加1.75亿元，增幅33.59%；比2017年增加2.13亿元，年平均增长11.02%。2021年失业保险基金收入构成情况如下：</w:t>
      </w:r>
    </w:p>
    <w:p>
      <w:pPr>
        <w:spacing w:line="560" w:lineRule="exact"/>
        <w:ind w:firstLine="643" w:firstLineChars="200"/>
        <w:rPr>
          <w:rFonts w:hint="eastAsia" w:ascii="仿宋_GB2312" w:eastAsia="仿宋_GB2312"/>
          <w:sz w:val="32"/>
          <w:szCs w:val="32"/>
        </w:rPr>
      </w:pPr>
      <w:r>
        <w:rPr>
          <w:rFonts w:hint="eastAsia" w:ascii="仿宋_GB2312" w:eastAsia="仿宋_GB2312"/>
          <w:b/>
          <w:bCs/>
          <w:sz w:val="32"/>
          <w:szCs w:val="32"/>
        </w:rPr>
        <w:t>1.失业保险费收入:</w:t>
      </w:r>
      <w:r>
        <w:rPr>
          <w:rFonts w:hint="eastAsia" w:ascii="仿宋_GB2312" w:eastAsia="仿宋_GB2312"/>
          <w:sz w:val="32"/>
          <w:szCs w:val="32"/>
        </w:rPr>
        <w:t>失业保险费收入6.36亿元，比上年增加1.66亿元，增长35.32%；比2017年增加2.27亿元，年平均增长13.88%。</w:t>
      </w:r>
    </w:p>
    <w:p>
      <w:pPr>
        <w:spacing w:line="560" w:lineRule="exact"/>
        <w:ind w:firstLine="643" w:firstLineChars="200"/>
        <w:rPr>
          <w:rFonts w:hint="eastAsia" w:ascii="仿宋_GB2312" w:eastAsia="仿宋_GB2312"/>
          <w:sz w:val="32"/>
          <w:szCs w:val="32"/>
        </w:rPr>
      </w:pPr>
      <w:r>
        <w:rPr>
          <w:rFonts w:hint="eastAsia" w:ascii="仿宋_GB2312" w:eastAsia="仿宋_GB2312"/>
          <w:b/>
          <w:bCs/>
          <w:sz w:val="32"/>
          <w:szCs w:val="32"/>
        </w:rPr>
        <w:t>2.利息收入:</w:t>
      </w:r>
      <w:r>
        <w:rPr>
          <w:rFonts w:hint="eastAsia" w:ascii="仿宋_GB2312" w:eastAsia="仿宋_GB2312"/>
          <w:sz w:val="32"/>
          <w:szCs w:val="32"/>
        </w:rPr>
        <w:t>利息收入0.59亿元，与上年基本持平。比2017年减少0.15亿元，年平均负增长5.07%。</w:t>
      </w:r>
    </w:p>
    <w:p>
      <w:pPr>
        <w:spacing w:line="560" w:lineRule="exact"/>
        <w:ind w:firstLine="643" w:firstLineChars="200"/>
        <w:rPr>
          <w:rFonts w:hint="eastAsia" w:ascii="仿宋_GB2312" w:eastAsia="仿宋_GB2312"/>
          <w:sz w:val="32"/>
          <w:szCs w:val="32"/>
        </w:rPr>
      </w:pPr>
      <w:r>
        <w:rPr>
          <w:rFonts w:hint="eastAsia" w:ascii="楷体_GB2312" w:eastAsia="楷体_GB2312"/>
          <w:b/>
          <w:bCs/>
          <w:sz w:val="32"/>
          <w:szCs w:val="32"/>
        </w:rPr>
        <w:t>（二）基金支出情况。</w:t>
      </w:r>
      <w:r>
        <w:rPr>
          <w:rFonts w:hint="eastAsia" w:ascii="仿宋_GB2312" w:eastAsia="仿宋_GB2312"/>
          <w:sz w:val="32"/>
          <w:szCs w:val="32"/>
        </w:rPr>
        <w:t>2021年失业保险基金总支出（不含补助下级支出、上解上级支出，下同）11.39亿元，比上年增加1.11亿元，增长10.8%；比2017年末增加8.15亿元，年平均增长62.89%。</w:t>
      </w:r>
    </w:p>
    <w:p>
      <w:pPr>
        <w:spacing w:line="560" w:lineRule="exact"/>
        <w:ind w:firstLine="643" w:firstLineChars="200"/>
        <w:rPr>
          <w:rFonts w:hint="eastAsia" w:ascii="仿宋_GB2312" w:eastAsia="仿宋_GB2312"/>
          <w:sz w:val="32"/>
          <w:szCs w:val="32"/>
        </w:rPr>
      </w:pPr>
      <w:r>
        <w:rPr>
          <w:rFonts w:hint="eastAsia" w:ascii="楷体_GB2312" w:eastAsia="楷体_GB2312"/>
          <w:b/>
          <w:bCs/>
          <w:sz w:val="32"/>
          <w:szCs w:val="32"/>
        </w:rPr>
        <w:t>（三）基金结存情况。</w:t>
      </w:r>
      <w:r>
        <w:rPr>
          <w:rFonts w:hint="eastAsia" w:ascii="仿宋_GB2312" w:eastAsia="仿宋_GB2312"/>
          <w:sz w:val="32"/>
          <w:szCs w:val="32"/>
        </w:rPr>
        <w:t>2021年末失业保险基金累计结余23.12亿元，比上年减少4.42亿元，减幅16.05%；比2017年末减少13.23亿元，年平均降低9.1%。</w:t>
      </w:r>
    </w:p>
    <w:p>
      <w:pPr>
        <w:spacing w:line="360" w:lineRule="exact"/>
        <w:jc w:val="center"/>
        <w:rPr>
          <w:rFonts w:hint="eastAsia" w:ascii="仿宋_GB2312" w:eastAsia="仿宋_GB2312"/>
          <w:sz w:val="28"/>
          <w:szCs w:val="28"/>
        </w:rPr>
      </w:pPr>
      <w:r>
        <w:rPr>
          <w:rFonts w:hint="eastAsia" w:ascii="仿宋_GB2312" w:eastAsia="仿宋_GB2312"/>
          <w:sz w:val="28"/>
          <w:szCs w:val="28"/>
        </w:rPr>
        <w:t>表3-2：2021年分市县失业保险基金收支结余情况表</w:t>
      </w:r>
    </w:p>
    <w:p>
      <w:pPr>
        <w:spacing w:line="360" w:lineRule="exact"/>
        <w:jc w:val="right"/>
        <w:rPr>
          <w:rFonts w:hint="eastAsia" w:ascii="仿宋_GB2312" w:eastAsia="仿宋_GB2312"/>
          <w:sz w:val="28"/>
          <w:szCs w:val="28"/>
        </w:rPr>
      </w:pPr>
      <w:r>
        <w:rPr>
          <w:rFonts w:hint="eastAsia" w:ascii="仿宋_GB2312" w:eastAsia="仿宋_GB2312"/>
          <w:sz w:val="28"/>
          <w:szCs w:val="28"/>
        </w:rPr>
        <w:t>单位：亿元</w:t>
      </w:r>
    </w:p>
    <w:tbl>
      <w:tblPr>
        <w:tblStyle w:val="23"/>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2265"/>
        <w:gridCol w:w="2265"/>
        <w:gridCol w:w="2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szCs w:val="21"/>
              </w:rPr>
            </w:pPr>
            <w:r>
              <w:rPr>
                <w:rFonts w:hint="eastAsia" w:ascii="仿宋_GB2312" w:eastAsia="仿宋_GB2312"/>
              </w:rPr>
              <w:t>市县</w:t>
            </w:r>
          </w:p>
        </w:tc>
        <w:tc>
          <w:tcPr>
            <w:tcW w:w="2265" w:type="dxa"/>
            <w:tcBorders>
              <w:top w:val="single" w:color="auto" w:sz="4" w:space="0"/>
              <w:left w:val="nil"/>
              <w:bottom w:val="single" w:color="auto" w:sz="4" w:space="0"/>
              <w:right w:val="nil"/>
            </w:tcBorders>
            <w:vAlign w:val="center"/>
          </w:tcPr>
          <w:p>
            <w:pPr>
              <w:ind w:firstLine="420" w:firstLineChars="200"/>
              <w:jc w:val="center"/>
              <w:rPr>
                <w:rFonts w:hint="eastAsia" w:ascii="仿宋_GB2312" w:eastAsia="仿宋_GB2312"/>
              </w:rPr>
            </w:pPr>
            <w:r>
              <w:rPr>
                <w:rFonts w:hint="eastAsia" w:ascii="仿宋_GB2312" w:eastAsia="仿宋_GB2312"/>
              </w:rPr>
              <w:t>本年基金收入</w:t>
            </w:r>
          </w:p>
        </w:tc>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本年基金支出</w:t>
            </w:r>
          </w:p>
        </w:tc>
        <w:tc>
          <w:tcPr>
            <w:tcW w:w="2527"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年末基金滚存结余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银川市</w:t>
            </w:r>
          </w:p>
        </w:tc>
        <w:tc>
          <w:tcPr>
            <w:tcW w:w="2265" w:type="dxa"/>
            <w:tcBorders>
              <w:top w:val="single" w:color="auto" w:sz="4" w:space="0"/>
              <w:left w:val="nil"/>
              <w:bottom w:val="single" w:color="auto" w:sz="4" w:space="0"/>
              <w:right w:val="nil"/>
            </w:tcBorders>
            <w:vAlign w:val="center"/>
          </w:tcPr>
          <w:p>
            <w:pPr>
              <w:ind w:firstLine="420" w:firstLineChars="200"/>
              <w:jc w:val="center"/>
              <w:rPr>
                <w:rFonts w:hint="eastAsia" w:ascii="仿宋_GB2312" w:eastAsia="仿宋_GB2312"/>
              </w:rPr>
            </w:pPr>
            <w:r>
              <w:rPr>
                <w:rFonts w:hint="eastAsia" w:ascii="仿宋_GB2312" w:eastAsia="仿宋_GB2312"/>
              </w:rPr>
              <w:t>2.68</w:t>
            </w:r>
          </w:p>
        </w:tc>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5.63</w:t>
            </w:r>
          </w:p>
        </w:tc>
        <w:tc>
          <w:tcPr>
            <w:tcW w:w="2527"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灵武市</w:t>
            </w:r>
          </w:p>
        </w:tc>
        <w:tc>
          <w:tcPr>
            <w:tcW w:w="2265" w:type="dxa"/>
            <w:tcBorders>
              <w:top w:val="single" w:color="auto" w:sz="4" w:space="0"/>
              <w:left w:val="nil"/>
              <w:bottom w:val="single" w:color="auto" w:sz="4" w:space="0"/>
              <w:right w:val="nil"/>
            </w:tcBorders>
            <w:vAlign w:val="center"/>
          </w:tcPr>
          <w:p>
            <w:pPr>
              <w:ind w:firstLine="420" w:firstLineChars="200"/>
              <w:jc w:val="center"/>
              <w:rPr>
                <w:rFonts w:hint="eastAsia" w:ascii="仿宋_GB2312" w:eastAsia="仿宋_GB2312"/>
              </w:rPr>
            </w:pPr>
            <w:r>
              <w:rPr>
                <w:rFonts w:hint="eastAsia" w:ascii="仿宋_GB2312" w:eastAsia="仿宋_GB2312"/>
              </w:rPr>
              <w:t>0.13</w:t>
            </w:r>
          </w:p>
        </w:tc>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0.35</w:t>
            </w:r>
          </w:p>
        </w:tc>
        <w:tc>
          <w:tcPr>
            <w:tcW w:w="2527"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宁东管委会</w:t>
            </w:r>
          </w:p>
        </w:tc>
        <w:tc>
          <w:tcPr>
            <w:tcW w:w="2265" w:type="dxa"/>
            <w:tcBorders>
              <w:top w:val="single" w:color="auto" w:sz="4" w:space="0"/>
              <w:left w:val="nil"/>
              <w:bottom w:val="single" w:color="auto" w:sz="4" w:space="0"/>
              <w:right w:val="nil"/>
            </w:tcBorders>
            <w:vAlign w:val="center"/>
          </w:tcPr>
          <w:p>
            <w:pPr>
              <w:ind w:firstLine="420" w:firstLineChars="200"/>
              <w:jc w:val="center"/>
              <w:rPr>
                <w:rFonts w:hint="eastAsia" w:ascii="仿宋_GB2312" w:eastAsia="仿宋_GB2312"/>
              </w:rPr>
            </w:pPr>
            <w:r>
              <w:rPr>
                <w:rFonts w:hint="eastAsia" w:ascii="仿宋_GB2312" w:eastAsia="仿宋_GB2312"/>
              </w:rPr>
              <w:t>0.37</w:t>
            </w:r>
          </w:p>
        </w:tc>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0.2</w:t>
            </w:r>
          </w:p>
        </w:tc>
        <w:tc>
          <w:tcPr>
            <w:tcW w:w="2527"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永宁县</w:t>
            </w:r>
          </w:p>
        </w:tc>
        <w:tc>
          <w:tcPr>
            <w:tcW w:w="2265" w:type="dxa"/>
            <w:tcBorders>
              <w:top w:val="single" w:color="auto" w:sz="4" w:space="0"/>
              <w:left w:val="nil"/>
              <w:bottom w:val="single" w:color="auto" w:sz="4" w:space="0"/>
              <w:right w:val="nil"/>
            </w:tcBorders>
            <w:vAlign w:val="center"/>
          </w:tcPr>
          <w:p>
            <w:pPr>
              <w:ind w:firstLine="420" w:firstLineChars="200"/>
              <w:jc w:val="center"/>
              <w:rPr>
                <w:rFonts w:hint="eastAsia" w:ascii="仿宋_GB2312" w:eastAsia="仿宋_GB2312"/>
              </w:rPr>
            </w:pPr>
            <w:r>
              <w:rPr>
                <w:rFonts w:hint="eastAsia" w:ascii="仿宋_GB2312" w:eastAsia="仿宋_GB2312"/>
              </w:rPr>
              <w:t>0.12</w:t>
            </w:r>
          </w:p>
        </w:tc>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0.34</w:t>
            </w:r>
          </w:p>
        </w:tc>
        <w:tc>
          <w:tcPr>
            <w:tcW w:w="2527"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贺兰县</w:t>
            </w:r>
          </w:p>
        </w:tc>
        <w:tc>
          <w:tcPr>
            <w:tcW w:w="2265" w:type="dxa"/>
            <w:tcBorders>
              <w:top w:val="single" w:color="auto" w:sz="4" w:space="0"/>
              <w:left w:val="nil"/>
              <w:bottom w:val="single" w:color="auto" w:sz="4" w:space="0"/>
              <w:right w:val="nil"/>
            </w:tcBorders>
            <w:vAlign w:val="center"/>
          </w:tcPr>
          <w:p>
            <w:pPr>
              <w:ind w:firstLine="420" w:firstLineChars="200"/>
              <w:jc w:val="center"/>
              <w:rPr>
                <w:rFonts w:hint="eastAsia" w:ascii="仿宋_GB2312" w:eastAsia="仿宋_GB2312"/>
              </w:rPr>
            </w:pPr>
            <w:r>
              <w:rPr>
                <w:rFonts w:hint="eastAsia" w:ascii="仿宋_GB2312" w:eastAsia="仿宋_GB2312"/>
              </w:rPr>
              <w:t>0.15</w:t>
            </w:r>
          </w:p>
        </w:tc>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0.29</w:t>
            </w:r>
          </w:p>
        </w:tc>
        <w:tc>
          <w:tcPr>
            <w:tcW w:w="2527"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石嘴山市</w:t>
            </w:r>
          </w:p>
        </w:tc>
        <w:tc>
          <w:tcPr>
            <w:tcW w:w="2265" w:type="dxa"/>
            <w:tcBorders>
              <w:top w:val="single" w:color="auto" w:sz="4" w:space="0"/>
              <w:left w:val="nil"/>
              <w:bottom w:val="single" w:color="auto" w:sz="4" w:space="0"/>
              <w:right w:val="nil"/>
            </w:tcBorders>
            <w:vAlign w:val="center"/>
          </w:tcPr>
          <w:p>
            <w:pPr>
              <w:ind w:firstLine="420" w:firstLineChars="200"/>
              <w:jc w:val="center"/>
              <w:rPr>
                <w:rFonts w:hint="eastAsia" w:ascii="仿宋_GB2312" w:eastAsia="仿宋_GB2312"/>
              </w:rPr>
            </w:pPr>
            <w:r>
              <w:rPr>
                <w:rFonts w:hint="eastAsia" w:ascii="仿宋_GB2312" w:eastAsia="仿宋_GB2312"/>
              </w:rPr>
              <w:t>0.64</w:t>
            </w:r>
          </w:p>
        </w:tc>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1.29</w:t>
            </w:r>
          </w:p>
        </w:tc>
        <w:tc>
          <w:tcPr>
            <w:tcW w:w="2527"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平罗县</w:t>
            </w:r>
          </w:p>
        </w:tc>
        <w:tc>
          <w:tcPr>
            <w:tcW w:w="2265" w:type="dxa"/>
            <w:tcBorders>
              <w:top w:val="single" w:color="auto" w:sz="4" w:space="0"/>
              <w:left w:val="nil"/>
              <w:bottom w:val="single" w:color="auto" w:sz="4" w:space="0"/>
              <w:right w:val="nil"/>
            </w:tcBorders>
            <w:vAlign w:val="center"/>
          </w:tcPr>
          <w:p>
            <w:pPr>
              <w:ind w:firstLine="420" w:firstLineChars="200"/>
              <w:jc w:val="center"/>
              <w:rPr>
                <w:rFonts w:hint="eastAsia" w:ascii="仿宋_GB2312" w:eastAsia="仿宋_GB2312"/>
              </w:rPr>
            </w:pPr>
            <w:r>
              <w:rPr>
                <w:rFonts w:hint="eastAsia" w:ascii="仿宋_GB2312" w:eastAsia="仿宋_GB2312"/>
              </w:rPr>
              <w:t>0.18</w:t>
            </w:r>
          </w:p>
        </w:tc>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0.24</w:t>
            </w:r>
          </w:p>
        </w:tc>
        <w:tc>
          <w:tcPr>
            <w:tcW w:w="2527"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吴忠市</w:t>
            </w:r>
          </w:p>
        </w:tc>
        <w:tc>
          <w:tcPr>
            <w:tcW w:w="2265" w:type="dxa"/>
            <w:tcBorders>
              <w:top w:val="single" w:color="auto" w:sz="4" w:space="0"/>
              <w:left w:val="nil"/>
              <w:bottom w:val="single" w:color="auto" w:sz="4" w:space="0"/>
              <w:right w:val="nil"/>
            </w:tcBorders>
            <w:vAlign w:val="center"/>
          </w:tcPr>
          <w:p>
            <w:pPr>
              <w:ind w:firstLine="420" w:firstLineChars="200"/>
              <w:jc w:val="center"/>
              <w:rPr>
                <w:rFonts w:hint="eastAsia" w:ascii="仿宋_GB2312" w:eastAsia="仿宋_GB2312"/>
              </w:rPr>
            </w:pPr>
            <w:r>
              <w:rPr>
                <w:rFonts w:hint="eastAsia" w:ascii="仿宋_GB2312" w:eastAsia="仿宋_GB2312"/>
              </w:rPr>
              <w:t>0.30</w:t>
            </w:r>
          </w:p>
        </w:tc>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0.50</w:t>
            </w:r>
          </w:p>
        </w:tc>
        <w:tc>
          <w:tcPr>
            <w:tcW w:w="2527"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青铜峡市</w:t>
            </w:r>
          </w:p>
        </w:tc>
        <w:tc>
          <w:tcPr>
            <w:tcW w:w="2265" w:type="dxa"/>
            <w:tcBorders>
              <w:top w:val="single" w:color="auto" w:sz="4" w:space="0"/>
              <w:left w:val="nil"/>
              <w:bottom w:val="single" w:color="auto" w:sz="4" w:space="0"/>
              <w:right w:val="nil"/>
            </w:tcBorders>
            <w:vAlign w:val="center"/>
          </w:tcPr>
          <w:p>
            <w:pPr>
              <w:ind w:firstLine="420" w:firstLineChars="200"/>
              <w:jc w:val="center"/>
              <w:rPr>
                <w:rFonts w:hint="eastAsia" w:ascii="仿宋_GB2312" w:eastAsia="仿宋_GB2312"/>
              </w:rPr>
            </w:pPr>
            <w:r>
              <w:rPr>
                <w:rFonts w:hint="eastAsia" w:ascii="仿宋_GB2312" w:eastAsia="仿宋_GB2312"/>
              </w:rPr>
              <w:t>0.19</w:t>
            </w:r>
          </w:p>
        </w:tc>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0.30</w:t>
            </w:r>
          </w:p>
        </w:tc>
        <w:tc>
          <w:tcPr>
            <w:tcW w:w="2527"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盐池县</w:t>
            </w:r>
          </w:p>
        </w:tc>
        <w:tc>
          <w:tcPr>
            <w:tcW w:w="2265" w:type="dxa"/>
            <w:tcBorders>
              <w:top w:val="single" w:color="auto" w:sz="4" w:space="0"/>
              <w:left w:val="nil"/>
              <w:bottom w:val="single" w:color="auto" w:sz="4" w:space="0"/>
              <w:right w:val="nil"/>
            </w:tcBorders>
            <w:vAlign w:val="center"/>
          </w:tcPr>
          <w:p>
            <w:pPr>
              <w:ind w:firstLine="420" w:firstLineChars="200"/>
              <w:jc w:val="center"/>
              <w:rPr>
                <w:rFonts w:hint="eastAsia" w:ascii="仿宋_GB2312" w:eastAsia="仿宋_GB2312"/>
              </w:rPr>
            </w:pPr>
            <w:r>
              <w:rPr>
                <w:rFonts w:hint="eastAsia" w:ascii="仿宋_GB2312" w:eastAsia="仿宋_GB2312"/>
              </w:rPr>
              <w:t>0.1</w:t>
            </w:r>
          </w:p>
        </w:tc>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0.12</w:t>
            </w:r>
          </w:p>
        </w:tc>
        <w:tc>
          <w:tcPr>
            <w:tcW w:w="2527"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同心县</w:t>
            </w:r>
          </w:p>
        </w:tc>
        <w:tc>
          <w:tcPr>
            <w:tcW w:w="2265" w:type="dxa"/>
            <w:tcBorders>
              <w:top w:val="single" w:color="auto" w:sz="4" w:space="0"/>
              <w:left w:val="nil"/>
              <w:bottom w:val="single" w:color="auto" w:sz="4" w:space="0"/>
              <w:right w:val="nil"/>
            </w:tcBorders>
            <w:vAlign w:val="center"/>
          </w:tcPr>
          <w:p>
            <w:pPr>
              <w:ind w:firstLine="420" w:firstLineChars="200"/>
              <w:jc w:val="center"/>
              <w:rPr>
                <w:rFonts w:hint="eastAsia" w:ascii="仿宋_GB2312" w:eastAsia="仿宋_GB2312"/>
              </w:rPr>
            </w:pPr>
            <w:r>
              <w:rPr>
                <w:rFonts w:hint="eastAsia" w:ascii="仿宋_GB2312" w:eastAsia="仿宋_GB2312"/>
              </w:rPr>
              <w:t>0.12</w:t>
            </w:r>
          </w:p>
        </w:tc>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0.07</w:t>
            </w:r>
          </w:p>
        </w:tc>
        <w:tc>
          <w:tcPr>
            <w:tcW w:w="2527"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红寺堡区</w:t>
            </w:r>
          </w:p>
        </w:tc>
        <w:tc>
          <w:tcPr>
            <w:tcW w:w="2265" w:type="dxa"/>
            <w:tcBorders>
              <w:top w:val="single" w:color="auto" w:sz="4" w:space="0"/>
              <w:left w:val="nil"/>
              <w:bottom w:val="single" w:color="auto" w:sz="4" w:space="0"/>
              <w:right w:val="nil"/>
            </w:tcBorders>
            <w:vAlign w:val="center"/>
          </w:tcPr>
          <w:p>
            <w:pPr>
              <w:ind w:firstLine="420" w:firstLineChars="200"/>
              <w:jc w:val="center"/>
              <w:rPr>
                <w:rFonts w:hint="eastAsia" w:ascii="仿宋_GB2312" w:eastAsia="仿宋_GB2312"/>
              </w:rPr>
            </w:pPr>
            <w:r>
              <w:rPr>
                <w:rFonts w:hint="eastAsia" w:ascii="仿宋_GB2312" w:eastAsia="仿宋_GB2312"/>
              </w:rPr>
              <w:t>0.05</w:t>
            </w:r>
          </w:p>
        </w:tc>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0.06</w:t>
            </w:r>
          </w:p>
        </w:tc>
        <w:tc>
          <w:tcPr>
            <w:tcW w:w="2527"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原州区</w:t>
            </w:r>
          </w:p>
        </w:tc>
        <w:tc>
          <w:tcPr>
            <w:tcW w:w="2265" w:type="dxa"/>
            <w:tcBorders>
              <w:top w:val="single" w:color="auto" w:sz="4" w:space="0"/>
              <w:left w:val="nil"/>
              <w:bottom w:val="single" w:color="auto" w:sz="4" w:space="0"/>
              <w:right w:val="nil"/>
            </w:tcBorders>
            <w:vAlign w:val="center"/>
          </w:tcPr>
          <w:p>
            <w:pPr>
              <w:ind w:firstLine="420" w:firstLineChars="200"/>
              <w:jc w:val="center"/>
              <w:rPr>
                <w:rFonts w:hint="eastAsia" w:ascii="仿宋_GB2312" w:eastAsia="仿宋_GB2312"/>
              </w:rPr>
            </w:pPr>
            <w:r>
              <w:rPr>
                <w:rFonts w:hint="eastAsia" w:ascii="仿宋_GB2312" w:eastAsia="仿宋_GB2312"/>
              </w:rPr>
              <w:t>0.26</w:t>
            </w:r>
          </w:p>
        </w:tc>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0.36</w:t>
            </w:r>
          </w:p>
        </w:tc>
        <w:tc>
          <w:tcPr>
            <w:tcW w:w="2527"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西吉县</w:t>
            </w:r>
          </w:p>
        </w:tc>
        <w:tc>
          <w:tcPr>
            <w:tcW w:w="2265" w:type="dxa"/>
            <w:tcBorders>
              <w:top w:val="single" w:color="auto" w:sz="4" w:space="0"/>
              <w:left w:val="nil"/>
              <w:bottom w:val="single" w:color="auto" w:sz="4" w:space="0"/>
              <w:right w:val="nil"/>
            </w:tcBorders>
            <w:vAlign w:val="center"/>
          </w:tcPr>
          <w:p>
            <w:pPr>
              <w:ind w:firstLine="420" w:firstLineChars="200"/>
              <w:jc w:val="center"/>
              <w:rPr>
                <w:rFonts w:hint="eastAsia" w:ascii="仿宋_GB2312" w:eastAsia="仿宋_GB2312"/>
              </w:rPr>
            </w:pPr>
            <w:r>
              <w:rPr>
                <w:rFonts w:hint="eastAsia" w:ascii="仿宋_GB2312" w:eastAsia="仿宋_GB2312"/>
              </w:rPr>
              <w:t>0.10</w:t>
            </w:r>
          </w:p>
        </w:tc>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0.06</w:t>
            </w:r>
          </w:p>
        </w:tc>
        <w:tc>
          <w:tcPr>
            <w:tcW w:w="2527"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隆德县</w:t>
            </w:r>
          </w:p>
        </w:tc>
        <w:tc>
          <w:tcPr>
            <w:tcW w:w="2265" w:type="dxa"/>
            <w:tcBorders>
              <w:top w:val="single" w:color="auto" w:sz="4" w:space="0"/>
              <w:left w:val="nil"/>
              <w:bottom w:val="single" w:color="auto" w:sz="4" w:space="0"/>
              <w:right w:val="nil"/>
            </w:tcBorders>
            <w:vAlign w:val="center"/>
          </w:tcPr>
          <w:p>
            <w:pPr>
              <w:ind w:firstLine="420" w:firstLineChars="200"/>
              <w:jc w:val="center"/>
              <w:rPr>
                <w:rFonts w:hint="eastAsia" w:ascii="仿宋_GB2312" w:eastAsia="仿宋_GB2312"/>
              </w:rPr>
            </w:pPr>
            <w:r>
              <w:rPr>
                <w:rFonts w:hint="eastAsia" w:ascii="仿宋_GB2312" w:eastAsia="仿宋_GB2312"/>
              </w:rPr>
              <w:t>0.05</w:t>
            </w:r>
          </w:p>
        </w:tc>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0.06</w:t>
            </w:r>
          </w:p>
        </w:tc>
        <w:tc>
          <w:tcPr>
            <w:tcW w:w="2527"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泾源县</w:t>
            </w:r>
          </w:p>
        </w:tc>
        <w:tc>
          <w:tcPr>
            <w:tcW w:w="2265" w:type="dxa"/>
            <w:tcBorders>
              <w:top w:val="single" w:color="auto" w:sz="4" w:space="0"/>
              <w:left w:val="nil"/>
              <w:bottom w:val="single" w:color="auto" w:sz="4" w:space="0"/>
              <w:right w:val="nil"/>
            </w:tcBorders>
            <w:vAlign w:val="center"/>
          </w:tcPr>
          <w:p>
            <w:pPr>
              <w:ind w:firstLine="420" w:firstLineChars="200"/>
              <w:jc w:val="center"/>
              <w:rPr>
                <w:rFonts w:hint="eastAsia" w:ascii="仿宋_GB2312" w:eastAsia="仿宋_GB2312"/>
              </w:rPr>
            </w:pPr>
            <w:r>
              <w:rPr>
                <w:rFonts w:hint="eastAsia" w:ascii="仿宋_GB2312" w:eastAsia="仿宋_GB2312"/>
              </w:rPr>
              <w:t>0.03</w:t>
            </w:r>
          </w:p>
        </w:tc>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0.02</w:t>
            </w:r>
          </w:p>
        </w:tc>
        <w:tc>
          <w:tcPr>
            <w:tcW w:w="2527"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彭阳县</w:t>
            </w:r>
          </w:p>
        </w:tc>
        <w:tc>
          <w:tcPr>
            <w:tcW w:w="2265" w:type="dxa"/>
            <w:tcBorders>
              <w:top w:val="single" w:color="auto" w:sz="4" w:space="0"/>
              <w:left w:val="nil"/>
              <w:bottom w:val="single" w:color="auto" w:sz="4" w:space="0"/>
              <w:right w:val="nil"/>
            </w:tcBorders>
            <w:vAlign w:val="center"/>
          </w:tcPr>
          <w:p>
            <w:pPr>
              <w:ind w:firstLine="420" w:firstLineChars="200"/>
              <w:jc w:val="center"/>
              <w:rPr>
                <w:rFonts w:hint="eastAsia" w:ascii="仿宋_GB2312" w:eastAsia="仿宋_GB2312"/>
              </w:rPr>
            </w:pPr>
            <w:r>
              <w:rPr>
                <w:rFonts w:hint="eastAsia" w:ascii="仿宋_GB2312" w:eastAsia="仿宋_GB2312"/>
              </w:rPr>
              <w:t>0.09</w:t>
            </w:r>
          </w:p>
        </w:tc>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0.08</w:t>
            </w:r>
          </w:p>
        </w:tc>
        <w:tc>
          <w:tcPr>
            <w:tcW w:w="2527"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中卫市</w:t>
            </w:r>
          </w:p>
        </w:tc>
        <w:tc>
          <w:tcPr>
            <w:tcW w:w="2265" w:type="dxa"/>
            <w:tcBorders>
              <w:top w:val="single" w:color="auto" w:sz="4" w:space="0"/>
              <w:left w:val="nil"/>
              <w:bottom w:val="single" w:color="auto" w:sz="4" w:space="0"/>
              <w:right w:val="nil"/>
            </w:tcBorders>
            <w:vAlign w:val="center"/>
          </w:tcPr>
          <w:p>
            <w:pPr>
              <w:ind w:firstLine="420" w:firstLineChars="200"/>
              <w:jc w:val="center"/>
              <w:rPr>
                <w:rFonts w:hint="eastAsia" w:ascii="仿宋_GB2312" w:eastAsia="仿宋_GB2312"/>
              </w:rPr>
            </w:pPr>
            <w:r>
              <w:rPr>
                <w:rFonts w:hint="eastAsia" w:ascii="仿宋_GB2312" w:eastAsia="仿宋_GB2312"/>
              </w:rPr>
              <w:t>0.31</w:t>
            </w:r>
          </w:p>
        </w:tc>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0.75</w:t>
            </w:r>
          </w:p>
        </w:tc>
        <w:tc>
          <w:tcPr>
            <w:tcW w:w="2527"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中宁县</w:t>
            </w:r>
          </w:p>
        </w:tc>
        <w:tc>
          <w:tcPr>
            <w:tcW w:w="2265" w:type="dxa"/>
            <w:tcBorders>
              <w:top w:val="single" w:color="auto" w:sz="4" w:space="0"/>
              <w:left w:val="nil"/>
              <w:bottom w:val="single" w:color="auto" w:sz="4" w:space="0"/>
              <w:right w:val="nil"/>
            </w:tcBorders>
            <w:vAlign w:val="center"/>
          </w:tcPr>
          <w:p>
            <w:pPr>
              <w:ind w:firstLine="420" w:firstLineChars="200"/>
              <w:jc w:val="center"/>
              <w:rPr>
                <w:rFonts w:hint="eastAsia" w:ascii="仿宋_GB2312" w:eastAsia="仿宋_GB2312"/>
              </w:rPr>
            </w:pPr>
            <w:r>
              <w:rPr>
                <w:rFonts w:hint="eastAsia" w:ascii="仿宋_GB2312" w:eastAsia="仿宋_GB2312"/>
              </w:rPr>
              <w:t>0.25</w:t>
            </w:r>
          </w:p>
        </w:tc>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0.39</w:t>
            </w:r>
          </w:p>
        </w:tc>
        <w:tc>
          <w:tcPr>
            <w:tcW w:w="2527"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海原县</w:t>
            </w:r>
          </w:p>
        </w:tc>
        <w:tc>
          <w:tcPr>
            <w:tcW w:w="2265" w:type="dxa"/>
            <w:tcBorders>
              <w:top w:val="single" w:color="auto" w:sz="4" w:space="0"/>
              <w:left w:val="nil"/>
              <w:bottom w:val="single" w:color="auto" w:sz="4" w:space="0"/>
              <w:right w:val="nil"/>
            </w:tcBorders>
            <w:vAlign w:val="center"/>
          </w:tcPr>
          <w:p>
            <w:pPr>
              <w:ind w:firstLine="420" w:firstLineChars="200"/>
              <w:jc w:val="center"/>
              <w:rPr>
                <w:rFonts w:hint="eastAsia" w:ascii="仿宋_GB2312" w:eastAsia="仿宋_GB2312"/>
              </w:rPr>
            </w:pPr>
            <w:r>
              <w:rPr>
                <w:rFonts w:hint="eastAsia" w:ascii="仿宋_GB2312" w:eastAsia="仿宋_GB2312"/>
              </w:rPr>
              <w:t>0.09</w:t>
            </w:r>
          </w:p>
        </w:tc>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0.07</w:t>
            </w:r>
          </w:p>
        </w:tc>
        <w:tc>
          <w:tcPr>
            <w:tcW w:w="2527"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区本级</w:t>
            </w:r>
          </w:p>
        </w:tc>
        <w:tc>
          <w:tcPr>
            <w:tcW w:w="2265" w:type="dxa"/>
            <w:tcBorders>
              <w:top w:val="single" w:color="auto" w:sz="4" w:space="0"/>
              <w:left w:val="nil"/>
              <w:bottom w:val="single" w:color="auto" w:sz="4" w:space="0"/>
              <w:right w:val="nil"/>
            </w:tcBorders>
            <w:vAlign w:val="center"/>
          </w:tcPr>
          <w:p>
            <w:pPr>
              <w:ind w:firstLine="420" w:firstLineChars="200"/>
              <w:jc w:val="center"/>
              <w:rPr>
                <w:rFonts w:hint="eastAsia" w:ascii="仿宋_GB2312" w:eastAsia="仿宋_GB2312"/>
              </w:rPr>
            </w:pPr>
            <w:r>
              <w:rPr>
                <w:rFonts w:hint="eastAsia" w:ascii="仿宋_GB2312" w:eastAsia="仿宋_GB2312"/>
              </w:rPr>
              <w:t>0.75</w:t>
            </w:r>
          </w:p>
        </w:tc>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0.21</w:t>
            </w:r>
          </w:p>
        </w:tc>
        <w:tc>
          <w:tcPr>
            <w:tcW w:w="2527"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15.77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总计</w:t>
            </w:r>
          </w:p>
        </w:tc>
        <w:tc>
          <w:tcPr>
            <w:tcW w:w="2265" w:type="dxa"/>
            <w:tcBorders>
              <w:top w:val="single" w:color="auto" w:sz="4" w:space="0"/>
              <w:left w:val="nil"/>
              <w:bottom w:val="single" w:color="auto" w:sz="4" w:space="0"/>
              <w:right w:val="nil"/>
            </w:tcBorders>
            <w:vAlign w:val="center"/>
          </w:tcPr>
          <w:p>
            <w:pPr>
              <w:ind w:firstLine="420" w:firstLineChars="200"/>
              <w:jc w:val="center"/>
              <w:rPr>
                <w:rFonts w:hint="eastAsia" w:ascii="仿宋_GB2312" w:eastAsia="仿宋_GB2312"/>
              </w:rPr>
            </w:pPr>
            <w:r>
              <w:rPr>
                <w:rFonts w:hint="eastAsia" w:ascii="仿宋_GB2312" w:eastAsia="仿宋_GB2312"/>
              </w:rPr>
              <w:t>6.96</w:t>
            </w:r>
          </w:p>
        </w:tc>
        <w:tc>
          <w:tcPr>
            <w:tcW w:w="2265"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11.39</w:t>
            </w:r>
          </w:p>
        </w:tc>
        <w:tc>
          <w:tcPr>
            <w:tcW w:w="2527"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23.12</w:t>
            </w:r>
          </w:p>
        </w:tc>
      </w:tr>
    </w:tbl>
    <w:p>
      <w:pPr>
        <w:spacing w:line="600" w:lineRule="exact"/>
        <w:ind w:firstLine="640" w:firstLineChars="200"/>
        <w:rPr>
          <w:rFonts w:hint="eastAsia" w:ascii="黑体" w:hAnsi="黑体" w:eastAsia="黑体"/>
          <w:sz w:val="32"/>
          <w:szCs w:val="32"/>
        </w:rPr>
      </w:pPr>
      <w:r>
        <w:rPr>
          <w:rFonts w:hint="eastAsia" w:ascii="黑体" w:hAnsi="黑体" w:eastAsia="黑体"/>
          <w:sz w:val="32"/>
          <w:szCs w:val="32"/>
        </w:rPr>
        <w:t>三、享受待遇情况</w:t>
      </w:r>
    </w:p>
    <w:p>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2021年全年共有3.62万失业人员领取了不同期限的失业保险金，比上年增加0.57万人，增长18.69%；比2017年增加0.9万人。2021年末，领取失业保险金人数为1.63万人，比上年增加0.19万人，增长13.19%，比2017年增加0.43万人。</w:t>
      </w:r>
    </w:p>
    <w:p>
      <w:pPr>
        <w:spacing w:line="360" w:lineRule="exact"/>
        <w:jc w:val="center"/>
        <w:rPr>
          <w:rFonts w:hint="eastAsia" w:ascii="仿宋_GB2312" w:eastAsia="仿宋_GB2312"/>
          <w:sz w:val="28"/>
          <w:szCs w:val="28"/>
        </w:rPr>
      </w:pPr>
      <w:r>
        <w:rPr>
          <w:rFonts w:hint="eastAsia" w:ascii="仿宋_GB2312" w:eastAsia="仿宋_GB2312"/>
          <w:sz w:val="28"/>
          <w:szCs w:val="28"/>
        </w:rPr>
        <w:t>表3-3：2021年分市县领取失业保险金人员情况表</w:t>
      </w:r>
    </w:p>
    <w:p>
      <w:pPr>
        <w:spacing w:line="360" w:lineRule="exact"/>
        <w:ind w:firstLine="560" w:firstLineChars="200"/>
        <w:jc w:val="right"/>
        <w:rPr>
          <w:rFonts w:hint="eastAsia" w:ascii="仿宋_GB2312" w:eastAsia="仿宋_GB2312"/>
          <w:sz w:val="28"/>
          <w:szCs w:val="28"/>
        </w:rPr>
      </w:pPr>
      <w:r>
        <w:rPr>
          <w:rFonts w:hint="eastAsia" w:ascii="仿宋_GB2312" w:eastAsia="仿宋_GB2312"/>
          <w:sz w:val="28"/>
          <w:szCs w:val="28"/>
        </w:rPr>
        <w:t>单位：人</w:t>
      </w:r>
    </w:p>
    <w:tbl>
      <w:tblPr>
        <w:tblStyle w:val="23"/>
        <w:tblW w:w="9060" w:type="dxa"/>
        <w:jc w:val="center"/>
        <w:tblInd w:w="0" w:type="dxa"/>
        <w:tblLayout w:type="fixed"/>
        <w:tblCellMar>
          <w:top w:w="0" w:type="dxa"/>
          <w:left w:w="108" w:type="dxa"/>
          <w:bottom w:w="0" w:type="dxa"/>
          <w:right w:w="108" w:type="dxa"/>
        </w:tblCellMar>
      </w:tblPr>
      <w:tblGrid>
        <w:gridCol w:w="4660"/>
        <w:gridCol w:w="4400"/>
      </w:tblGrid>
      <w:tr>
        <w:tblPrEx>
          <w:tblLayout w:type="fixed"/>
          <w:tblCellMar>
            <w:top w:w="0" w:type="dxa"/>
            <w:left w:w="108" w:type="dxa"/>
            <w:bottom w:w="0" w:type="dxa"/>
            <w:right w:w="108" w:type="dxa"/>
          </w:tblCellMar>
        </w:tblPrEx>
        <w:trPr>
          <w:trHeight w:val="340" w:hRule="atLeast"/>
          <w:jc w:val="center"/>
        </w:trPr>
        <w:tc>
          <w:tcPr>
            <w:tcW w:w="4660"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szCs w:val="21"/>
              </w:rPr>
            </w:pPr>
            <w:r>
              <w:rPr>
                <w:rFonts w:hint="eastAsia" w:ascii="仿宋_GB2312" w:eastAsia="仿宋_GB2312"/>
              </w:rPr>
              <w:t>名称</w:t>
            </w:r>
          </w:p>
        </w:tc>
        <w:tc>
          <w:tcPr>
            <w:tcW w:w="4400"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领取失业保险金人数</w:t>
            </w:r>
          </w:p>
        </w:tc>
      </w:tr>
      <w:tr>
        <w:tblPrEx>
          <w:tblLayout w:type="fixed"/>
          <w:tblCellMar>
            <w:top w:w="0" w:type="dxa"/>
            <w:left w:w="108" w:type="dxa"/>
            <w:bottom w:w="0" w:type="dxa"/>
            <w:right w:w="108" w:type="dxa"/>
          </w:tblCellMar>
        </w:tblPrEx>
        <w:trPr>
          <w:trHeight w:val="340" w:hRule="atLeast"/>
          <w:jc w:val="center"/>
        </w:trPr>
        <w:tc>
          <w:tcPr>
            <w:tcW w:w="4660"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总计</w:t>
            </w:r>
          </w:p>
        </w:tc>
        <w:tc>
          <w:tcPr>
            <w:tcW w:w="4400"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36174</w:t>
            </w:r>
          </w:p>
        </w:tc>
      </w:tr>
      <w:tr>
        <w:tblPrEx>
          <w:tblLayout w:type="fixed"/>
          <w:tblCellMar>
            <w:top w:w="0" w:type="dxa"/>
            <w:left w:w="108" w:type="dxa"/>
            <w:bottom w:w="0" w:type="dxa"/>
            <w:right w:w="108" w:type="dxa"/>
          </w:tblCellMar>
        </w:tblPrEx>
        <w:trPr>
          <w:trHeight w:val="340" w:hRule="atLeast"/>
          <w:jc w:val="center"/>
        </w:trPr>
        <w:tc>
          <w:tcPr>
            <w:tcW w:w="4660"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银川市</w:t>
            </w:r>
          </w:p>
        </w:tc>
        <w:tc>
          <w:tcPr>
            <w:tcW w:w="4400"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16005</w:t>
            </w:r>
          </w:p>
        </w:tc>
      </w:tr>
      <w:tr>
        <w:tblPrEx>
          <w:tblLayout w:type="fixed"/>
          <w:tblCellMar>
            <w:top w:w="0" w:type="dxa"/>
            <w:left w:w="108" w:type="dxa"/>
            <w:bottom w:w="0" w:type="dxa"/>
            <w:right w:w="108" w:type="dxa"/>
          </w:tblCellMar>
        </w:tblPrEx>
        <w:trPr>
          <w:trHeight w:val="340" w:hRule="atLeast"/>
          <w:jc w:val="center"/>
        </w:trPr>
        <w:tc>
          <w:tcPr>
            <w:tcW w:w="4660"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灵武市</w:t>
            </w:r>
          </w:p>
        </w:tc>
        <w:tc>
          <w:tcPr>
            <w:tcW w:w="4400"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1370</w:t>
            </w:r>
          </w:p>
        </w:tc>
      </w:tr>
      <w:tr>
        <w:tblPrEx>
          <w:tblLayout w:type="fixed"/>
          <w:tblCellMar>
            <w:top w:w="0" w:type="dxa"/>
            <w:left w:w="108" w:type="dxa"/>
            <w:bottom w:w="0" w:type="dxa"/>
            <w:right w:w="108" w:type="dxa"/>
          </w:tblCellMar>
        </w:tblPrEx>
        <w:trPr>
          <w:trHeight w:val="340" w:hRule="atLeast"/>
          <w:jc w:val="center"/>
        </w:trPr>
        <w:tc>
          <w:tcPr>
            <w:tcW w:w="4660"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宁东管委会</w:t>
            </w:r>
          </w:p>
        </w:tc>
        <w:tc>
          <w:tcPr>
            <w:tcW w:w="4400"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98</w:t>
            </w:r>
          </w:p>
        </w:tc>
      </w:tr>
      <w:tr>
        <w:tblPrEx>
          <w:tblLayout w:type="fixed"/>
          <w:tblCellMar>
            <w:top w:w="0" w:type="dxa"/>
            <w:left w:w="108" w:type="dxa"/>
            <w:bottom w:w="0" w:type="dxa"/>
            <w:right w:w="108" w:type="dxa"/>
          </w:tblCellMar>
        </w:tblPrEx>
        <w:trPr>
          <w:trHeight w:val="340" w:hRule="atLeast"/>
          <w:jc w:val="center"/>
        </w:trPr>
        <w:tc>
          <w:tcPr>
            <w:tcW w:w="4660"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永宁县</w:t>
            </w:r>
          </w:p>
        </w:tc>
        <w:tc>
          <w:tcPr>
            <w:tcW w:w="4400"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975</w:t>
            </w:r>
          </w:p>
        </w:tc>
      </w:tr>
      <w:tr>
        <w:tblPrEx>
          <w:tblLayout w:type="fixed"/>
          <w:tblCellMar>
            <w:top w:w="0" w:type="dxa"/>
            <w:left w:w="108" w:type="dxa"/>
            <w:bottom w:w="0" w:type="dxa"/>
            <w:right w:w="108" w:type="dxa"/>
          </w:tblCellMar>
        </w:tblPrEx>
        <w:trPr>
          <w:trHeight w:val="340" w:hRule="atLeast"/>
          <w:jc w:val="center"/>
        </w:trPr>
        <w:tc>
          <w:tcPr>
            <w:tcW w:w="4660"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贺兰县</w:t>
            </w:r>
          </w:p>
        </w:tc>
        <w:tc>
          <w:tcPr>
            <w:tcW w:w="4400"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910</w:t>
            </w:r>
          </w:p>
        </w:tc>
      </w:tr>
      <w:tr>
        <w:tblPrEx>
          <w:tblLayout w:type="fixed"/>
          <w:tblCellMar>
            <w:top w:w="0" w:type="dxa"/>
            <w:left w:w="108" w:type="dxa"/>
            <w:bottom w:w="0" w:type="dxa"/>
            <w:right w:w="108" w:type="dxa"/>
          </w:tblCellMar>
        </w:tblPrEx>
        <w:trPr>
          <w:trHeight w:val="340" w:hRule="atLeast"/>
          <w:jc w:val="center"/>
        </w:trPr>
        <w:tc>
          <w:tcPr>
            <w:tcW w:w="4660"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石嘴山市</w:t>
            </w:r>
          </w:p>
        </w:tc>
        <w:tc>
          <w:tcPr>
            <w:tcW w:w="4400"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4991</w:t>
            </w:r>
          </w:p>
        </w:tc>
      </w:tr>
      <w:tr>
        <w:tblPrEx>
          <w:tblLayout w:type="fixed"/>
          <w:tblCellMar>
            <w:top w:w="0" w:type="dxa"/>
            <w:left w:w="108" w:type="dxa"/>
            <w:bottom w:w="0" w:type="dxa"/>
            <w:right w:w="108" w:type="dxa"/>
          </w:tblCellMar>
        </w:tblPrEx>
        <w:trPr>
          <w:trHeight w:val="340" w:hRule="atLeast"/>
          <w:jc w:val="center"/>
        </w:trPr>
        <w:tc>
          <w:tcPr>
            <w:tcW w:w="4660"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平罗县</w:t>
            </w:r>
          </w:p>
        </w:tc>
        <w:tc>
          <w:tcPr>
            <w:tcW w:w="4400"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795</w:t>
            </w:r>
          </w:p>
        </w:tc>
      </w:tr>
      <w:tr>
        <w:tblPrEx>
          <w:tblLayout w:type="fixed"/>
          <w:tblCellMar>
            <w:top w:w="0" w:type="dxa"/>
            <w:left w:w="108" w:type="dxa"/>
            <w:bottom w:w="0" w:type="dxa"/>
            <w:right w:w="108" w:type="dxa"/>
          </w:tblCellMar>
        </w:tblPrEx>
        <w:trPr>
          <w:trHeight w:val="340" w:hRule="atLeast"/>
          <w:jc w:val="center"/>
        </w:trPr>
        <w:tc>
          <w:tcPr>
            <w:tcW w:w="4660"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吴忠市</w:t>
            </w:r>
          </w:p>
        </w:tc>
        <w:tc>
          <w:tcPr>
            <w:tcW w:w="4400"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1691</w:t>
            </w:r>
          </w:p>
        </w:tc>
      </w:tr>
      <w:tr>
        <w:tblPrEx>
          <w:tblLayout w:type="fixed"/>
          <w:tblCellMar>
            <w:top w:w="0" w:type="dxa"/>
            <w:left w:w="108" w:type="dxa"/>
            <w:bottom w:w="0" w:type="dxa"/>
            <w:right w:w="108" w:type="dxa"/>
          </w:tblCellMar>
        </w:tblPrEx>
        <w:trPr>
          <w:trHeight w:val="340" w:hRule="atLeast"/>
          <w:jc w:val="center"/>
        </w:trPr>
        <w:tc>
          <w:tcPr>
            <w:tcW w:w="4660"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青铜峡市</w:t>
            </w:r>
          </w:p>
        </w:tc>
        <w:tc>
          <w:tcPr>
            <w:tcW w:w="4400"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1086</w:t>
            </w:r>
          </w:p>
        </w:tc>
      </w:tr>
      <w:tr>
        <w:tblPrEx>
          <w:tblLayout w:type="fixed"/>
          <w:tblCellMar>
            <w:top w:w="0" w:type="dxa"/>
            <w:left w:w="108" w:type="dxa"/>
            <w:bottom w:w="0" w:type="dxa"/>
            <w:right w:w="108" w:type="dxa"/>
          </w:tblCellMar>
        </w:tblPrEx>
        <w:trPr>
          <w:trHeight w:val="340" w:hRule="atLeast"/>
          <w:jc w:val="center"/>
        </w:trPr>
        <w:tc>
          <w:tcPr>
            <w:tcW w:w="4660"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盐池县</w:t>
            </w:r>
          </w:p>
        </w:tc>
        <w:tc>
          <w:tcPr>
            <w:tcW w:w="4400"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607</w:t>
            </w:r>
          </w:p>
        </w:tc>
      </w:tr>
      <w:tr>
        <w:tblPrEx>
          <w:tblLayout w:type="fixed"/>
          <w:tblCellMar>
            <w:top w:w="0" w:type="dxa"/>
            <w:left w:w="108" w:type="dxa"/>
            <w:bottom w:w="0" w:type="dxa"/>
            <w:right w:w="108" w:type="dxa"/>
          </w:tblCellMar>
        </w:tblPrEx>
        <w:trPr>
          <w:trHeight w:val="340" w:hRule="atLeast"/>
          <w:jc w:val="center"/>
        </w:trPr>
        <w:tc>
          <w:tcPr>
            <w:tcW w:w="4660"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同心县</w:t>
            </w:r>
          </w:p>
        </w:tc>
        <w:tc>
          <w:tcPr>
            <w:tcW w:w="4400"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452</w:t>
            </w:r>
          </w:p>
        </w:tc>
      </w:tr>
      <w:tr>
        <w:tblPrEx>
          <w:tblLayout w:type="fixed"/>
          <w:tblCellMar>
            <w:top w:w="0" w:type="dxa"/>
            <w:left w:w="108" w:type="dxa"/>
            <w:bottom w:w="0" w:type="dxa"/>
            <w:right w:w="108" w:type="dxa"/>
          </w:tblCellMar>
        </w:tblPrEx>
        <w:trPr>
          <w:trHeight w:val="340" w:hRule="atLeast"/>
          <w:jc w:val="center"/>
        </w:trPr>
        <w:tc>
          <w:tcPr>
            <w:tcW w:w="4660"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红寺堡区</w:t>
            </w:r>
          </w:p>
        </w:tc>
        <w:tc>
          <w:tcPr>
            <w:tcW w:w="4400"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533</w:t>
            </w:r>
          </w:p>
        </w:tc>
      </w:tr>
      <w:tr>
        <w:tblPrEx>
          <w:tblLayout w:type="fixed"/>
          <w:tblCellMar>
            <w:top w:w="0" w:type="dxa"/>
            <w:left w:w="108" w:type="dxa"/>
            <w:bottom w:w="0" w:type="dxa"/>
            <w:right w:w="108" w:type="dxa"/>
          </w:tblCellMar>
        </w:tblPrEx>
        <w:trPr>
          <w:trHeight w:val="340" w:hRule="atLeast"/>
          <w:jc w:val="center"/>
        </w:trPr>
        <w:tc>
          <w:tcPr>
            <w:tcW w:w="4660"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原州区</w:t>
            </w:r>
          </w:p>
        </w:tc>
        <w:tc>
          <w:tcPr>
            <w:tcW w:w="4400"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1686</w:t>
            </w:r>
          </w:p>
        </w:tc>
      </w:tr>
      <w:tr>
        <w:tblPrEx>
          <w:tblLayout w:type="fixed"/>
          <w:tblCellMar>
            <w:top w:w="0" w:type="dxa"/>
            <w:left w:w="108" w:type="dxa"/>
            <w:bottom w:w="0" w:type="dxa"/>
            <w:right w:w="108" w:type="dxa"/>
          </w:tblCellMar>
        </w:tblPrEx>
        <w:trPr>
          <w:trHeight w:val="340" w:hRule="atLeast"/>
          <w:jc w:val="center"/>
        </w:trPr>
        <w:tc>
          <w:tcPr>
            <w:tcW w:w="4660"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西吉县</w:t>
            </w:r>
          </w:p>
        </w:tc>
        <w:tc>
          <w:tcPr>
            <w:tcW w:w="4400"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403</w:t>
            </w:r>
          </w:p>
        </w:tc>
      </w:tr>
      <w:tr>
        <w:tblPrEx>
          <w:tblLayout w:type="fixed"/>
          <w:tblCellMar>
            <w:top w:w="0" w:type="dxa"/>
            <w:left w:w="108" w:type="dxa"/>
            <w:bottom w:w="0" w:type="dxa"/>
            <w:right w:w="108" w:type="dxa"/>
          </w:tblCellMar>
        </w:tblPrEx>
        <w:trPr>
          <w:trHeight w:val="340" w:hRule="atLeast"/>
          <w:jc w:val="center"/>
        </w:trPr>
        <w:tc>
          <w:tcPr>
            <w:tcW w:w="4660"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隆德县</w:t>
            </w:r>
          </w:p>
        </w:tc>
        <w:tc>
          <w:tcPr>
            <w:tcW w:w="4400"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471</w:t>
            </w:r>
          </w:p>
        </w:tc>
      </w:tr>
      <w:tr>
        <w:tblPrEx>
          <w:tblLayout w:type="fixed"/>
          <w:tblCellMar>
            <w:top w:w="0" w:type="dxa"/>
            <w:left w:w="108" w:type="dxa"/>
            <w:bottom w:w="0" w:type="dxa"/>
            <w:right w:w="108" w:type="dxa"/>
          </w:tblCellMar>
        </w:tblPrEx>
        <w:trPr>
          <w:trHeight w:val="340" w:hRule="atLeast"/>
          <w:jc w:val="center"/>
        </w:trPr>
        <w:tc>
          <w:tcPr>
            <w:tcW w:w="4660"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泾源县</w:t>
            </w:r>
          </w:p>
        </w:tc>
        <w:tc>
          <w:tcPr>
            <w:tcW w:w="4400"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239</w:t>
            </w:r>
          </w:p>
        </w:tc>
      </w:tr>
      <w:tr>
        <w:tblPrEx>
          <w:tblLayout w:type="fixed"/>
          <w:tblCellMar>
            <w:top w:w="0" w:type="dxa"/>
            <w:left w:w="108" w:type="dxa"/>
            <w:bottom w:w="0" w:type="dxa"/>
            <w:right w:w="108" w:type="dxa"/>
          </w:tblCellMar>
        </w:tblPrEx>
        <w:trPr>
          <w:trHeight w:val="340" w:hRule="atLeast"/>
          <w:jc w:val="center"/>
        </w:trPr>
        <w:tc>
          <w:tcPr>
            <w:tcW w:w="4660"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彭阳县</w:t>
            </w:r>
          </w:p>
        </w:tc>
        <w:tc>
          <w:tcPr>
            <w:tcW w:w="4400"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639</w:t>
            </w:r>
          </w:p>
        </w:tc>
      </w:tr>
      <w:tr>
        <w:tblPrEx>
          <w:tblLayout w:type="fixed"/>
          <w:tblCellMar>
            <w:top w:w="0" w:type="dxa"/>
            <w:left w:w="108" w:type="dxa"/>
            <w:bottom w:w="0" w:type="dxa"/>
            <w:right w:w="108" w:type="dxa"/>
          </w:tblCellMar>
        </w:tblPrEx>
        <w:trPr>
          <w:trHeight w:val="340" w:hRule="atLeast"/>
          <w:jc w:val="center"/>
        </w:trPr>
        <w:tc>
          <w:tcPr>
            <w:tcW w:w="4660"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中卫市</w:t>
            </w:r>
          </w:p>
        </w:tc>
        <w:tc>
          <w:tcPr>
            <w:tcW w:w="4400"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1823</w:t>
            </w:r>
          </w:p>
        </w:tc>
      </w:tr>
      <w:tr>
        <w:tblPrEx>
          <w:tblLayout w:type="fixed"/>
          <w:tblCellMar>
            <w:top w:w="0" w:type="dxa"/>
            <w:left w:w="108" w:type="dxa"/>
            <w:bottom w:w="0" w:type="dxa"/>
            <w:right w:w="108" w:type="dxa"/>
          </w:tblCellMar>
        </w:tblPrEx>
        <w:trPr>
          <w:trHeight w:val="340" w:hRule="atLeast"/>
          <w:jc w:val="center"/>
        </w:trPr>
        <w:tc>
          <w:tcPr>
            <w:tcW w:w="4660"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中宁县</w:t>
            </w:r>
          </w:p>
        </w:tc>
        <w:tc>
          <w:tcPr>
            <w:tcW w:w="4400"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802</w:t>
            </w:r>
          </w:p>
        </w:tc>
      </w:tr>
      <w:tr>
        <w:tblPrEx>
          <w:tblLayout w:type="fixed"/>
          <w:tblCellMar>
            <w:top w:w="0" w:type="dxa"/>
            <w:left w:w="108" w:type="dxa"/>
            <w:bottom w:w="0" w:type="dxa"/>
            <w:right w:w="108" w:type="dxa"/>
          </w:tblCellMar>
        </w:tblPrEx>
        <w:trPr>
          <w:trHeight w:val="340" w:hRule="atLeast"/>
          <w:jc w:val="center"/>
        </w:trPr>
        <w:tc>
          <w:tcPr>
            <w:tcW w:w="4660" w:type="dxa"/>
            <w:tcBorders>
              <w:top w:val="single" w:color="auto" w:sz="4" w:space="0"/>
              <w:left w:val="single" w:color="auto" w:sz="4" w:space="0"/>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海原县</w:t>
            </w:r>
          </w:p>
        </w:tc>
        <w:tc>
          <w:tcPr>
            <w:tcW w:w="4400" w:type="dxa"/>
            <w:tcBorders>
              <w:top w:val="single" w:color="auto" w:sz="4" w:space="0"/>
              <w:left w:val="nil"/>
              <w:bottom w:val="single" w:color="auto" w:sz="4" w:space="0"/>
              <w:right w:val="single" w:color="auto" w:sz="4" w:space="0"/>
            </w:tcBorders>
            <w:vAlign w:val="center"/>
          </w:tcPr>
          <w:p>
            <w:pPr>
              <w:ind w:firstLine="420" w:firstLineChars="200"/>
              <w:jc w:val="center"/>
              <w:rPr>
                <w:rFonts w:hint="eastAsia" w:ascii="仿宋_GB2312" w:eastAsia="仿宋_GB2312"/>
              </w:rPr>
            </w:pPr>
            <w:r>
              <w:rPr>
                <w:rFonts w:hint="eastAsia" w:ascii="仿宋_GB2312" w:eastAsia="仿宋_GB2312"/>
              </w:rPr>
              <w:t>598</w:t>
            </w:r>
          </w:p>
        </w:tc>
      </w:tr>
    </w:tbl>
    <w:p>
      <w:pPr>
        <w:ind w:firstLine="640" w:firstLineChars="200"/>
        <w:rPr>
          <w:rFonts w:hint="eastAsia" w:ascii="仿宋_GB2312" w:eastAsia="仿宋_GB2312"/>
          <w:sz w:val="32"/>
          <w:szCs w:val="32"/>
        </w:rPr>
      </w:pPr>
      <w:r>
        <w:rPr>
          <w:rFonts w:hint="eastAsia" w:ascii="仿宋_GB2312" w:eastAsia="仿宋_GB2312"/>
          <w:sz w:val="32"/>
          <w:szCs w:val="32"/>
        </w:rPr>
        <w:t>2021年领取失业保险金人员月人均领取1557.01元，比上年增加179.35元，增长13.02%；比2017年增加603.54元，年平均增长15.82%。</w:t>
      </w:r>
    </w:p>
    <w:p>
      <w:pPr>
        <w:ind w:firstLine="640" w:firstLineChars="200"/>
        <w:rPr>
          <w:rFonts w:hint="eastAsia"/>
          <w:szCs w:val="21"/>
        </w:rPr>
      </w:pPr>
      <w:r>
        <w:rPr>
          <w:rFonts w:hint="eastAsia" w:ascii="仿宋_GB2312" w:eastAsia="仿宋_GB2312"/>
          <w:sz w:val="32"/>
          <w:szCs w:val="32"/>
        </w:rPr>
        <w:t>2021年，在领取失业保险金人员中，参加职工基本医疗保险的占90.18%。失业保险基金支付职工基本医疗保险费0.61亿元，月人均缴纳职工基本医疗保险费326.79元，比上年增加2.74    元，增长0.85%。全年领取一次性生活补助的农民工人数为0.64万人，比上年减少206人，降幅3.13%；比2017年增加0.48万人。农民工领取一次性生活补助的人均水平为6470.5元，与上年基本持平。</w:t>
      </w:r>
    </w:p>
    <w:p>
      <w:pPr>
        <w:autoSpaceDE w:val="0"/>
        <w:autoSpaceDN w:val="0"/>
        <w:snapToGrid w:val="0"/>
        <w:jc w:val="center"/>
        <w:rPr>
          <w:rFonts w:ascii="仿宋_GB2312" w:eastAsia="仿宋_GB2312"/>
          <w:sz w:val="44"/>
          <w:szCs w:val="44"/>
        </w:rPr>
      </w:pPr>
    </w:p>
    <w:p>
      <w:pPr>
        <w:autoSpaceDE w:val="0"/>
        <w:autoSpaceDN w:val="0"/>
        <w:snapToGrid w:val="0"/>
        <w:spacing w:line="560" w:lineRule="exact"/>
        <w:jc w:val="center"/>
        <w:rPr>
          <w:rFonts w:ascii="黑体" w:hAnsi="黑体" w:eastAsia="黑体" w:cs="黑体"/>
          <w:sz w:val="32"/>
          <w:szCs w:val="32"/>
        </w:rPr>
      </w:pPr>
      <w:r>
        <w:rPr>
          <w:rFonts w:hint="eastAsia" w:ascii="黑体" w:hAnsi="黑体" w:eastAsia="黑体" w:cs="黑体"/>
          <w:sz w:val="32"/>
          <w:szCs w:val="32"/>
        </w:rPr>
        <w:t>第四部分</w:t>
      </w:r>
      <w:r>
        <w:rPr>
          <w:rFonts w:ascii="黑体" w:hAnsi="黑体" w:eastAsia="黑体" w:cs="黑体"/>
          <w:sz w:val="32"/>
          <w:szCs w:val="32"/>
        </w:rPr>
        <w:t xml:space="preserve"> </w:t>
      </w:r>
      <w:r>
        <w:rPr>
          <w:rFonts w:hint="eastAsia" w:ascii="黑体" w:hAnsi="黑体" w:eastAsia="黑体" w:cs="黑体"/>
          <w:sz w:val="32"/>
          <w:szCs w:val="32"/>
        </w:rPr>
        <w:t>社会保险基金运行状况</w:t>
      </w:r>
    </w:p>
    <w:p>
      <w:pPr>
        <w:snapToGrid w:val="0"/>
        <w:spacing w:line="560" w:lineRule="exact"/>
        <w:rPr>
          <w:rFonts w:ascii="仿宋_GB2312" w:eastAsia="仿宋_GB2312"/>
          <w:sz w:val="44"/>
          <w:szCs w:val="44"/>
        </w:rPr>
      </w:pPr>
    </w:p>
    <w:p>
      <w:pPr>
        <w:spacing w:line="560" w:lineRule="exact"/>
        <w:ind w:firstLine="640" w:firstLineChars="200"/>
        <w:rPr>
          <w:rFonts w:ascii="黑体" w:hAnsi="黑体" w:eastAsia="黑体"/>
          <w:color w:val="FF0000"/>
          <w:sz w:val="32"/>
          <w:szCs w:val="32"/>
        </w:rPr>
      </w:pPr>
      <w:r>
        <w:rPr>
          <w:rFonts w:hint="eastAsia" w:ascii="黑体" w:hAnsi="黑体" w:eastAsia="黑体"/>
          <w:sz w:val="32"/>
          <w:szCs w:val="32"/>
        </w:rPr>
        <w:t>一、社会保险基金运行情况</w:t>
      </w:r>
      <w:r>
        <w:rPr>
          <w:rFonts w:hint="eastAsia" w:ascii="黑体" w:hAnsi="黑体" w:eastAsia="黑体"/>
          <w:color w:val="FF0000"/>
          <w:sz w:val="32"/>
          <w:szCs w:val="32"/>
        </w:rPr>
        <w:t>（注：不含失业保险）</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2021年基本养老保险（含城乡居民养老保险）、机关事业单位养老保险、职业年金、工伤保险、失业保险（以下简称四项社保）基金总收入407.10亿元（含中央调剂金；不含上级补助收入、下级上解收入，下同），比上年增加71.43亿元，增长21.28%；比2017年增加134.33亿元，年平均增长10.53%。其中，基金征缴收入241.30亿元，比上年增加32.41亿元，增长16.65%；比2017年增加31.57亿元，年平均增长3.57%。</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四项社保基金总支出374.30亿元（含中央调剂金；不含补助下级支出、上解上级支出，下同），比上年增加34.92亿元，增长10.29%；比2017年增加140.18亿元，年平均增长12.45%。</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四项社保基金收支规模达到781.40亿元，比上年增加106.35亿元，增长15.75%；比2017年增加274.51亿元，年平均增长11.43%。</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四项社保基金累计结余382.77亿元，比上年增加33.66亿元，增长9.64%；比2017年增加113.85亿元，年平均增长9.23%。</w:t>
      </w:r>
    </w:p>
    <w:p>
      <w:pPr>
        <w:spacing w:line="560" w:lineRule="exact"/>
        <w:ind w:firstLine="640" w:firstLineChars="200"/>
        <w:rPr>
          <w:rFonts w:ascii="黑体" w:hAnsi="黑体" w:eastAsia="黑体"/>
          <w:color w:val="FF0000"/>
          <w:sz w:val="32"/>
          <w:szCs w:val="32"/>
        </w:rPr>
      </w:pPr>
      <w:r>
        <w:rPr>
          <w:rFonts w:hint="eastAsia" w:ascii="黑体" w:hAnsi="黑体" w:eastAsia="黑体"/>
          <w:sz w:val="32"/>
          <w:szCs w:val="32"/>
        </w:rPr>
        <w:t>二、社会保险基金资产情</w:t>
      </w:r>
      <w:r>
        <w:rPr>
          <w:rFonts w:hint="eastAsia" w:ascii="黑体" w:hAnsi="黑体" w:eastAsia="黑体"/>
          <w:color w:val="000000" w:themeColor="text1"/>
          <w:sz w:val="32"/>
          <w:szCs w:val="32"/>
          <w14:textFill>
            <w14:solidFill>
              <w14:schemeClr w14:val="tx1"/>
            </w14:solidFill>
          </w14:textFill>
        </w:rPr>
        <w:t>况</w:t>
      </w:r>
      <w:r>
        <w:rPr>
          <w:rFonts w:hint="eastAsia" w:ascii="黑体" w:hAnsi="黑体" w:eastAsia="黑体"/>
          <w:color w:val="FF0000"/>
          <w:sz w:val="32"/>
          <w:szCs w:val="32"/>
        </w:rPr>
        <w:t>（注：不含失业保险）</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2021年末，基本养老保险（含城乡居民养老保险）、机关事业单位养老保险、职业年金、工伤保险基金资产总额399.72亿元，其中各级政府财政专户存款263.38亿元，各级社会保险经办机构支出户存款0.87亿元。企业职工养老保险基金资产占社会保险基金资产总额的51.72%。</w:t>
      </w:r>
    </w:p>
    <w:p>
      <w:pPr>
        <w:spacing w:line="560" w:lineRule="exact"/>
        <w:jc w:val="center"/>
        <w:rPr>
          <w:rFonts w:ascii="仿宋_GB2312" w:eastAsia="仿宋_GB2312"/>
          <w:sz w:val="28"/>
          <w:szCs w:val="28"/>
        </w:rPr>
      </w:pPr>
      <w:r>
        <w:rPr>
          <w:rFonts w:hint="eastAsia" w:ascii="仿宋_GB2312" w:eastAsia="仿宋_GB2312"/>
          <w:sz w:val="28"/>
          <w:szCs w:val="28"/>
        </w:rPr>
        <w:t>表4-1：2021年各项社会保险基金资产情况表</w:t>
      </w:r>
    </w:p>
    <w:p>
      <w:pPr>
        <w:spacing w:line="560" w:lineRule="exact"/>
        <w:jc w:val="both"/>
        <w:rPr>
          <w:rFonts w:ascii="仿宋_GB2312" w:eastAsia="仿宋_GB2312"/>
          <w:sz w:val="28"/>
          <w:szCs w:val="28"/>
        </w:rPr>
      </w:pPr>
      <w:r>
        <w:rPr>
          <w:rFonts w:hint="eastAsia" w:ascii="仿宋_GB2312" w:eastAsia="仿宋_GB2312"/>
          <w:sz w:val="28"/>
          <w:szCs w:val="28"/>
        </w:rPr>
        <w:t xml:space="preserve">                                                   单位：亿元，%</w:t>
      </w:r>
    </w:p>
    <w:p>
      <w:pPr>
        <w:spacing w:line="560" w:lineRule="exact"/>
        <w:rPr>
          <w:rFonts w:ascii="仿宋_GB2312" w:eastAsia="仿宋_GB2312"/>
          <w:sz w:val="32"/>
          <w:szCs w:val="32"/>
        </w:rPr>
      </w:pPr>
      <w:r>
        <w:rPr>
          <w:rFonts w:hint="eastAsia" w:ascii="仿宋_GB2312" w:eastAsia="仿宋_GB2312"/>
          <w:sz w:val="32"/>
          <w:szCs w:val="32"/>
        </w:rPr>
        <w:drawing>
          <wp:anchor distT="0" distB="0" distL="114300" distR="114300" simplePos="0" relativeHeight="251660288" behindDoc="0" locked="0" layoutInCell="1" allowOverlap="1">
            <wp:simplePos x="0" y="0"/>
            <wp:positionH relativeFrom="column">
              <wp:posOffset>88900</wp:posOffset>
            </wp:positionH>
            <wp:positionV relativeFrom="paragraph">
              <wp:posOffset>1270</wp:posOffset>
            </wp:positionV>
            <wp:extent cx="5688330" cy="3213735"/>
            <wp:effectExtent l="0" t="0" r="7620" b="571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688330" cy="3213735"/>
                    </a:xfrm>
                    <a:prstGeom prst="rect">
                      <a:avLst/>
                    </a:prstGeom>
                  </pic:spPr>
                </pic:pic>
              </a:graphicData>
            </a:graphic>
          </wp:anchor>
        </w:drawing>
      </w: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黑体" w:hAnsi="黑体" w:eastAsia="黑体"/>
          <w:sz w:val="32"/>
          <w:szCs w:val="32"/>
        </w:rPr>
      </w:pPr>
      <w:r>
        <w:rPr>
          <w:rFonts w:hint="eastAsia" w:ascii="黑体" w:hAnsi="黑体" w:eastAsia="黑体"/>
          <w:sz w:val="32"/>
          <w:szCs w:val="32"/>
        </w:rPr>
        <w:t>三、各险种静态可支付月数情况</w:t>
      </w:r>
    </w:p>
    <w:p>
      <w:pPr>
        <w:spacing w:line="560" w:lineRule="exact"/>
        <w:ind w:firstLine="643" w:firstLineChars="200"/>
        <w:rPr>
          <w:rFonts w:ascii="仿宋_GB2312" w:eastAsia="仿宋_GB2312"/>
          <w:sz w:val="32"/>
          <w:szCs w:val="32"/>
        </w:rPr>
      </w:pPr>
      <w:r>
        <w:rPr>
          <w:rFonts w:hint="eastAsia" w:ascii="楷体_GB2312" w:eastAsia="楷体_GB2312"/>
          <w:b/>
          <w:sz w:val="32"/>
          <w:szCs w:val="32"/>
        </w:rPr>
        <w:t>（一）企业职工基本养老保险。</w:t>
      </w:r>
      <w:r>
        <w:rPr>
          <w:rFonts w:hint="eastAsia" w:ascii="仿宋_GB2312" w:eastAsia="仿宋_GB2312"/>
          <w:sz w:val="32"/>
          <w:szCs w:val="32"/>
        </w:rPr>
        <w:t>截至2021年底，全区企业职工基本养老保险基金滚存结余为206.63亿元，静态可支付月数为10.58个月（测算数据，不含中央调剂金）。</w:t>
      </w:r>
    </w:p>
    <w:p>
      <w:pPr>
        <w:spacing w:line="560" w:lineRule="exact"/>
        <w:ind w:firstLine="643" w:firstLineChars="200"/>
        <w:rPr>
          <w:rFonts w:ascii="仿宋_GB2312" w:eastAsia="仿宋_GB2312"/>
          <w:sz w:val="32"/>
          <w:szCs w:val="32"/>
        </w:rPr>
      </w:pPr>
      <w:r>
        <w:rPr>
          <w:rFonts w:hint="eastAsia" w:ascii="楷体_GB2312" w:eastAsia="楷体_GB2312"/>
          <w:b/>
          <w:sz w:val="32"/>
          <w:szCs w:val="32"/>
        </w:rPr>
        <w:t>（二）城乡居民基本养老保险。</w:t>
      </w:r>
      <w:r>
        <w:rPr>
          <w:rFonts w:hint="eastAsia" w:ascii="仿宋_GB2312" w:eastAsia="仿宋_GB2312"/>
          <w:sz w:val="32"/>
          <w:szCs w:val="32"/>
        </w:rPr>
        <w:t>截至2021年底，全区城乡居民基本养老保险基金滚存结余为51.16亿元，静态可支付月数为50.6个月。</w:t>
      </w:r>
    </w:p>
    <w:p>
      <w:pPr>
        <w:spacing w:line="560" w:lineRule="exact"/>
        <w:ind w:firstLine="643" w:firstLineChars="200"/>
        <w:rPr>
          <w:rFonts w:ascii="仿宋_GB2312" w:eastAsia="仿宋_GB2312"/>
          <w:sz w:val="32"/>
          <w:szCs w:val="32"/>
        </w:rPr>
      </w:pPr>
      <w:r>
        <w:rPr>
          <w:rFonts w:hint="eastAsia" w:ascii="楷体_GB2312" w:eastAsia="楷体_GB2312"/>
          <w:b/>
          <w:sz w:val="32"/>
          <w:szCs w:val="32"/>
        </w:rPr>
        <w:t>（三）机关事业单位养老保险。</w:t>
      </w:r>
      <w:r>
        <w:rPr>
          <w:rFonts w:hint="eastAsia" w:ascii="仿宋_GB2312" w:eastAsia="仿宋_GB2312"/>
          <w:sz w:val="32"/>
          <w:szCs w:val="32"/>
        </w:rPr>
        <w:t>截至2021年底，全区机关事业单位养老保险基金滚存结余为24.14亿元，静态可支付月数为3.6个月。</w:t>
      </w:r>
    </w:p>
    <w:p>
      <w:pPr>
        <w:spacing w:line="560" w:lineRule="exact"/>
        <w:ind w:firstLine="643" w:firstLineChars="200"/>
        <w:rPr>
          <w:rFonts w:ascii="仿宋_GB2312" w:eastAsia="仿宋_GB2312"/>
          <w:b/>
          <w:sz w:val="32"/>
          <w:szCs w:val="32"/>
        </w:rPr>
      </w:pPr>
      <w:r>
        <w:rPr>
          <w:rFonts w:hint="eastAsia" w:ascii="楷体_GB2312" w:eastAsia="楷体_GB2312"/>
          <w:b/>
          <w:sz w:val="32"/>
          <w:szCs w:val="32"/>
        </w:rPr>
        <w:t>（四）职业年金。</w:t>
      </w:r>
      <w:r>
        <w:rPr>
          <w:rFonts w:hint="eastAsia" w:ascii="仿宋_GB2312" w:eastAsia="仿宋_GB2312"/>
          <w:sz w:val="32"/>
          <w:szCs w:val="32"/>
        </w:rPr>
        <w:t>截至2021年底，全区职业年金保险基金滚存结余为91.83亿元，静态可支付月数为492个月。</w:t>
      </w:r>
    </w:p>
    <w:p>
      <w:pPr>
        <w:spacing w:line="560" w:lineRule="exact"/>
        <w:ind w:firstLine="643" w:firstLineChars="200"/>
        <w:rPr>
          <w:rFonts w:ascii="仿宋_GB2312" w:eastAsia="仿宋_GB2312"/>
          <w:sz w:val="32"/>
          <w:szCs w:val="32"/>
        </w:rPr>
      </w:pPr>
      <w:r>
        <w:rPr>
          <w:rFonts w:hint="eastAsia" w:ascii="楷体_GB2312" w:eastAsia="楷体_GB2312"/>
          <w:b/>
          <w:sz w:val="32"/>
          <w:szCs w:val="32"/>
        </w:rPr>
        <w:t>（五）工伤保险。</w:t>
      </w:r>
      <w:r>
        <w:rPr>
          <w:rFonts w:hint="eastAsia" w:ascii="仿宋_GB2312" w:eastAsia="仿宋_GB2312"/>
          <w:sz w:val="32"/>
          <w:szCs w:val="32"/>
        </w:rPr>
        <w:t>截至2021年底，全区工伤保险基金滚存结余为9.01亿元，静态可支付月数为21.4个月。</w:t>
      </w:r>
    </w:p>
    <w:p>
      <w:pPr>
        <w:spacing w:line="560" w:lineRule="exact"/>
        <w:ind w:firstLine="643" w:firstLineChars="200"/>
        <w:rPr>
          <w:rFonts w:ascii="仿宋_GB2312" w:eastAsia="仿宋_GB2312"/>
          <w:sz w:val="32"/>
          <w:szCs w:val="32"/>
        </w:rPr>
      </w:pPr>
      <w:r>
        <w:rPr>
          <w:rFonts w:hint="eastAsia" w:ascii="楷体_GB2312" w:eastAsia="楷体_GB2312"/>
          <w:b/>
          <w:sz w:val="32"/>
          <w:szCs w:val="32"/>
        </w:rPr>
        <w:t>（六）失业保险。</w:t>
      </w:r>
      <w:r>
        <w:rPr>
          <w:rFonts w:hint="eastAsia" w:ascii="仿宋_GB2312" w:eastAsia="仿宋_GB2312"/>
          <w:sz w:val="32"/>
          <w:szCs w:val="32"/>
        </w:rPr>
        <w:t>截至2021年底，全区失业保险基金滚存结余为23.12亿元，静态可支付月数为19个月。</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四、基金监控工作</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扎实推进社会保险基金管理问题专项整治，核查跨省重复领取养老保险待遇疑点数据2674条，涉及人员97名；专项核查疑似服刑期间违规领取养老保险待遇数据258条，涉及金额770.71万元，追回违规领取待遇213.00万元；接收人社部社保中心下发服刑人员违规领取疑点数据280条，共确认问题数据67条，涉及违规金额486.65万元，追回金额216.00万元。强化稽核监管，2021年度全区共实地稽核1246户，发现未参保3758人，未足额缴费3218人，少缴社会保险费626.02万元，追回少缴社会保险费626.02万元，核查享受待遇100.74万人次，查出欺诈冒领813人次，冒领金额1410.64万元，追回1021.32万元。会同自治区审计厅下发工伤保险基金审计疑点问题7764条，经核查后发现供养亲属已死亡仍领取抚恤金人员5名，共计领取金额共计3.6万元，工程项目未参保项目3377个。</w:t>
      </w:r>
    </w:p>
    <w:p>
      <w:pPr>
        <w:spacing w:line="600" w:lineRule="exact"/>
        <w:jc w:val="center"/>
        <w:rPr>
          <w:rFonts w:ascii="仿宋_GB2312" w:eastAsia="仿宋_GB2312"/>
          <w:sz w:val="32"/>
          <w:szCs w:val="32"/>
        </w:rPr>
      </w:pPr>
    </w:p>
    <w:p>
      <w:pPr>
        <w:spacing w:line="600" w:lineRule="exact"/>
        <w:jc w:val="center"/>
        <w:rPr>
          <w:rFonts w:ascii="黑体" w:hAnsi="黑体" w:eastAsia="黑体" w:cs="黑体"/>
          <w:kern w:val="0"/>
          <w:sz w:val="32"/>
          <w:szCs w:val="32"/>
        </w:rPr>
      </w:pPr>
      <w:r>
        <w:rPr>
          <w:rFonts w:hint="eastAsia" w:ascii="黑体" w:hAnsi="黑体" w:eastAsia="黑体" w:cs="黑体"/>
          <w:kern w:val="0"/>
          <w:sz w:val="32"/>
          <w:szCs w:val="32"/>
        </w:rPr>
        <w:t>第五章</w:t>
      </w:r>
      <w:r>
        <w:rPr>
          <w:rFonts w:ascii="黑体" w:hAnsi="黑体" w:eastAsia="黑体" w:cs="黑体"/>
          <w:kern w:val="0"/>
          <w:sz w:val="32"/>
          <w:szCs w:val="32"/>
        </w:rPr>
        <w:t xml:space="preserve">  </w:t>
      </w:r>
      <w:r>
        <w:rPr>
          <w:rFonts w:hint="eastAsia" w:ascii="黑体" w:hAnsi="黑体" w:eastAsia="黑体" w:cs="黑体"/>
          <w:kern w:val="0"/>
          <w:sz w:val="32"/>
          <w:szCs w:val="32"/>
        </w:rPr>
        <w:t>机构建设</w:t>
      </w:r>
    </w:p>
    <w:p>
      <w:pPr>
        <w:spacing w:line="600" w:lineRule="exact"/>
        <w:rPr>
          <w:rFonts w:ascii="仿宋_GB2312" w:eastAsia="仿宋_GB2312"/>
          <w:sz w:val="32"/>
          <w:szCs w:val="32"/>
        </w:rPr>
      </w:pPr>
    </w:p>
    <w:p>
      <w:pPr>
        <w:spacing w:line="560" w:lineRule="exact"/>
        <w:ind w:firstLine="640" w:firstLineChars="200"/>
        <w:rPr>
          <w:rFonts w:ascii="黑体" w:hAnsi="黑体" w:eastAsia="黑体"/>
          <w:sz w:val="32"/>
        </w:rPr>
      </w:pPr>
      <w:r>
        <w:rPr>
          <w:rFonts w:hint="eastAsia" w:ascii="黑体" w:hAnsi="黑体" w:eastAsia="黑体"/>
          <w:sz w:val="32"/>
        </w:rPr>
        <w:t>一、全区社保经办机构基本情况</w:t>
      </w:r>
    </w:p>
    <w:p>
      <w:pPr>
        <w:spacing w:line="560" w:lineRule="exact"/>
        <w:ind w:firstLine="640" w:firstLineChars="200"/>
        <w:rPr>
          <w:rFonts w:ascii="仿宋_GB2312" w:eastAsia="仿宋_GB2312"/>
          <w:sz w:val="32"/>
        </w:rPr>
      </w:pPr>
      <w:r>
        <w:rPr>
          <w:rFonts w:hint="eastAsia" w:ascii="仿宋_GB2312" w:eastAsia="仿宋_GB2312"/>
          <w:sz w:val="32"/>
        </w:rPr>
        <w:t>截至2021年12月底，全区共有27个社保经办机构。其中省级</w:t>
      </w:r>
      <w:r>
        <w:rPr>
          <w:rFonts w:hint="eastAsia" w:ascii="仿宋_GB2312" w:eastAsia="仿宋_GB2312"/>
          <w:sz w:val="32"/>
          <w:szCs w:val="32"/>
        </w:rPr>
        <w:t>副厅级单位1个，为自治区社保局，参公管理；地（市）级经办机构5个，其中：</w:t>
      </w:r>
      <w:r>
        <w:rPr>
          <w:rFonts w:hint="eastAsia" w:ascii="仿宋_GB2312" w:eastAsia="仿宋_GB2312"/>
          <w:sz w:val="32"/>
        </w:rPr>
        <w:t>正处级单位2个</w:t>
      </w:r>
      <w:r>
        <w:rPr>
          <w:rFonts w:hint="eastAsia" w:ascii="仿宋_GB2312" w:eastAsia="仿宋_GB2312"/>
          <w:color w:val="000000"/>
          <w:sz w:val="32"/>
        </w:rPr>
        <w:t>（银川市、固原市），</w:t>
      </w:r>
      <w:r>
        <w:rPr>
          <w:rFonts w:hint="eastAsia" w:ascii="仿宋_GB2312" w:eastAsia="仿宋_GB2312"/>
          <w:sz w:val="32"/>
        </w:rPr>
        <w:t>副处级单位3个（</w:t>
      </w:r>
      <w:r>
        <w:rPr>
          <w:rFonts w:hint="eastAsia" w:ascii="仿宋_GB2312" w:eastAsia="仿宋_GB2312"/>
          <w:color w:val="000000"/>
          <w:sz w:val="32"/>
        </w:rPr>
        <w:t>石嘴山市、吴忠市、中卫市</w:t>
      </w:r>
      <w:r>
        <w:rPr>
          <w:rFonts w:hint="eastAsia" w:ascii="仿宋_GB2312" w:eastAsia="仿宋_GB2312"/>
          <w:sz w:val="32"/>
        </w:rPr>
        <w:t>）。县（区）级经办机构21个，其中：正处级单位1个</w:t>
      </w:r>
      <w:r>
        <w:rPr>
          <w:rFonts w:hint="eastAsia" w:ascii="仿宋_GB2312" w:eastAsia="仿宋_GB2312"/>
          <w:color w:val="000000"/>
          <w:sz w:val="32"/>
        </w:rPr>
        <w:t>（宁东基地）</w:t>
      </w:r>
      <w:r>
        <w:rPr>
          <w:rFonts w:hint="eastAsia" w:ascii="仿宋_GB2312" w:eastAsia="仿宋_GB2312"/>
          <w:sz w:val="32"/>
        </w:rPr>
        <w:t>，</w:t>
      </w:r>
      <w:r>
        <w:rPr>
          <w:rFonts w:hint="eastAsia" w:ascii="仿宋_GB2312" w:eastAsia="仿宋_GB2312"/>
          <w:color w:val="000000"/>
          <w:sz w:val="32"/>
        </w:rPr>
        <w:t>副科级单位17个（兴庆区、金凤区、西夏区、永宁县、贺兰县、灵武市、平罗县、青铜峡市、红寺堡区、同心县、盐池县、西吉县、隆德县、泾源县、彭阳县、中宁县、海原县）</w:t>
      </w:r>
      <w:r>
        <w:rPr>
          <w:rFonts w:hint="eastAsia" w:ascii="仿宋_GB2312" w:eastAsia="仿宋_GB2312"/>
          <w:sz w:val="32"/>
        </w:rPr>
        <w:t>，不定级别单位3个（大武口区、惠农区、原州区）。26个市县（区）经办机构均为事业单位（未参公）。</w:t>
      </w:r>
    </w:p>
    <w:p>
      <w:pPr>
        <w:spacing w:line="560" w:lineRule="exact"/>
        <w:ind w:firstLine="643" w:firstLineChars="200"/>
        <w:rPr>
          <w:rFonts w:ascii="仿宋_GB2312" w:eastAsia="仿宋_GB2312"/>
          <w:sz w:val="32"/>
        </w:rPr>
      </w:pPr>
      <w:r>
        <w:rPr>
          <w:rFonts w:hint="eastAsia" w:ascii="楷体_GB2312" w:eastAsia="楷体_GB2312"/>
          <w:b/>
          <w:sz w:val="32"/>
        </w:rPr>
        <w:t>（一）自治区社保局职责。</w:t>
      </w:r>
      <w:r>
        <w:rPr>
          <w:rFonts w:hint="eastAsia" w:ascii="仿宋_GB2312" w:eastAsia="仿宋_GB2312"/>
          <w:sz w:val="32"/>
        </w:rPr>
        <w:t>自治区社会保险事业管理局为自治区人力资源和社会保障厅所属副厅级参公管理事业单位。主要职责是：负责国家、自治区养老保险法律法规和政策的贯彻落实，制定实施社会保险经办规程；负责全区社会保险登记、养老保险费申报审核、养老保险基金的支付、管理、运营、养老保险关系建立、记录、转移、接续和终止及档案管理，养老保险业务指导、规范和考核；负责中央驻宁行业企业基本养老保险、自治区本级和中央驻宁机关事业单位养老保险经办管理工作；负责全区养老保险基金财务管理、会计核算和运行分析，预决算草案的编制和执行工作。负责全区机关事业单位、企业离退休人员、居民养老金发放及社会化管理服务工作；负责执行养老保险业务信息系统建设标准和指标体系，养老保险信息系统开发、数据集中处理、日常管理、动态监测、宏观分析，承担社会保险个人权益数据管理和记录发布，负责社保监控、社保卡管理，信息网络硬件设施、设备更新、维护和管理（</w:t>
      </w:r>
      <w:r>
        <w:rPr>
          <w:rFonts w:hint="eastAsia" w:ascii="仿宋_GB2312" w:eastAsia="仿宋_GB2312"/>
          <w:color w:val="000000"/>
          <w:sz w:val="32"/>
        </w:rPr>
        <w:t>机构改革中医疗、生育保险、医保监控业务职责划转到自治区医疗保障局，新的机构编制方案还未出台</w:t>
      </w:r>
      <w:r>
        <w:rPr>
          <w:rFonts w:hint="eastAsia" w:ascii="仿宋_GB2312" w:eastAsia="仿宋_GB2312"/>
          <w:sz w:val="32"/>
        </w:rPr>
        <w:t>）。</w:t>
      </w:r>
    </w:p>
    <w:p>
      <w:pPr>
        <w:spacing w:line="560" w:lineRule="exact"/>
        <w:ind w:firstLine="643" w:firstLineChars="200"/>
        <w:rPr>
          <w:rFonts w:ascii="仿宋_GB2312" w:eastAsia="仿宋_GB2312"/>
          <w:sz w:val="32"/>
        </w:rPr>
      </w:pPr>
      <w:r>
        <w:rPr>
          <w:rFonts w:hint="eastAsia" w:ascii="楷体_GB2312" w:eastAsia="楷体_GB2312"/>
          <w:b/>
          <w:sz w:val="32"/>
        </w:rPr>
        <w:t>（二）市县（区）社保经办机构职责。</w:t>
      </w:r>
      <w:r>
        <w:rPr>
          <w:rFonts w:hint="eastAsia" w:ascii="仿宋_GB2312" w:eastAsia="仿宋_GB2312"/>
          <w:sz w:val="32"/>
        </w:rPr>
        <w:t>根据各地编制部门下发的编制方案，市、县（区）社保经办机构的主要职责有五个方面。</w:t>
      </w:r>
      <w:r>
        <w:rPr>
          <w:rFonts w:hint="eastAsia" w:ascii="仿宋_GB2312" w:eastAsia="仿宋_GB2312"/>
          <w:b/>
          <w:sz w:val="32"/>
        </w:rPr>
        <w:t>一是</w:t>
      </w:r>
      <w:r>
        <w:rPr>
          <w:rFonts w:hint="eastAsia" w:ascii="仿宋_GB2312" w:eastAsia="仿宋_GB2312"/>
          <w:sz w:val="32"/>
        </w:rPr>
        <w:t>负责各类机构及人员三项社会保险经办工作；</w:t>
      </w:r>
      <w:r>
        <w:rPr>
          <w:rFonts w:hint="eastAsia" w:ascii="仿宋_GB2312" w:eastAsia="仿宋_GB2312"/>
          <w:b/>
          <w:sz w:val="32"/>
        </w:rPr>
        <w:t>二是</w:t>
      </w:r>
      <w:r>
        <w:rPr>
          <w:rFonts w:hint="eastAsia" w:ascii="仿宋_GB2312" w:eastAsia="仿宋_GB2312"/>
          <w:sz w:val="32"/>
        </w:rPr>
        <w:t>负责社会保险登记、缴费申报核定和管理、城乡居民社保费征收工作；</w:t>
      </w:r>
      <w:r>
        <w:rPr>
          <w:rFonts w:hint="eastAsia" w:ascii="仿宋_GB2312" w:eastAsia="仿宋_GB2312"/>
          <w:b/>
          <w:sz w:val="32"/>
        </w:rPr>
        <w:t>三是</w:t>
      </w:r>
      <w:r>
        <w:rPr>
          <w:rFonts w:hint="eastAsia" w:ascii="仿宋_GB2312" w:eastAsia="仿宋_GB2312"/>
          <w:sz w:val="32"/>
        </w:rPr>
        <w:t>负责社会保险缴费记录、退休人员档案、社保社会化管理服务、个人账户管理等工作；</w:t>
      </w:r>
      <w:r>
        <w:rPr>
          <w:rFonts w:hint="eastAsia" w:ascii="仿宋_GB2312" w:eastAsia="仿宋_GB2312"/>
          <w:b/>
          <w:sz w:val="32"/>
        </w:rPr>
        <w:t>四是</w:t>
      </w:r>
      <w:r>
        <w:rPr>
          <w:rFonts w:hint="eastAsia" w:ascii="仿宋_GB2312" w:eastAsia="仿宋_GB2312"/>
          <w:sz w:val="32"/>
        </w:rPr>
        <w:t>负责社会保险统计分析、基金运行分析、预警，编制和执行社会保险基金预决算及社会保险稽核等工作；</w:t>
      </w:r>
      <w:r>
        <w:rPr>
          <w:rFonts w:hint="eastAsia" w:ascii="仿宋_GB2312" w:eastAsia="仿宋_GB2312"/>
          <w:b/>
          <w:sz w:val="32"/>
        </w:rPr>
        <w:t>五是</w:t>
      </w:r>
      <w:r>
        <w:rPr>
          <w:rFonts w:hint="eastAsia" w:ascii="仿宋_GB2312" w:eastAsia="仿宋_GB2312"/>
          <w:sz w:val="32"/>
        </w:rPr>
        <w:t>负责各项社会保险待遇核定、支付及社会保险关系转移接续工作。</w:t>
      </w:r>
    </w:p>
    <w:p>
      <w:pPr>
        <w:spacing w:line="560" w:lineRule="exact"/>
        <w:ind w:firstLine="640" w:firstLineChars="200"/>
        <w:rPr>
          <w:rFonts w:ascii="仿宋_GB2312" w:eastAsia="仿宋_GB2312"/>
          <w:sz w:val="32"/>
        </w:rPr>
      </w:pPr>
      <w:r>
        <w:rPr>
          <w:rFonts w:hint="eastAsia" w:ascii="仿宋_GB2312" w:eastAsia="仿宋_GB2312"/>
          <w:sz w:val="32"/>
        </w:rPr>
        <w:t>截至2021年12月底，除银川市、固原市、宁东基地3个社保经办机构仍为五险合一经办机构以外，其他24个经办机构均已不再经办医疗、生育保险及医保监控业务。</w:t>
      </w:r>
    </w:p>
    <w:p>
      <w:pPr>
        <w:spacing w:line="560" w:lineRule="exact"/>
        <w:ind w:firstLine="640" w:firstLineChars="200"/>
        <w:rPr>
          <w:rFonts w:ascii="黑体" w:hAnsi="黑体" w:eastAsia="黑体"/>
          <w:sz w:val="32"/>
        </w:rPr>
      </w:pPr>
      <w:r>
        <w:rPr>
          <w:rFonts w:hint="eastAsia" w:ascii="黑体" w:hAnsi="黑体" w:eastAsia="黑体"/>
          <w:sz w:val="32"/>
        </w:rPr>
        <w:t>二、全区社保经办机构工作人员基本情况</w:t>
      </w:r>
    </w:p>
    <w:p>
      <w:pPr>
        <w:spacing w:line="560" w:lineRule="exact"/>
        <w:ind w:firstLine="640" w:firstLineChars="200"/>
        <w:rPr>
          <w:rFonts w:ascii="仿宋_GB2312" w:eastAsia="仿宋_GB2312"/>
          <w:sz w:val="32"/>
        </w:rPr>
      </w:pPr>
      <w:r>
        <w:rPr>
          <w:rFonts w:hint="eastAsia" w:ascii="仿宋_GB2312" w:eastAsia="仿宋_GB2312"/>
          <w:sz w:val="32"/>
        </w:rPr>
        <w:t>截至2021年12月底，全区社保经办机构编制人员数684名，实有工作人员654人。人员结构如下：</w:t>
      </w:r>
    </w:p>
    <w:p>
      <w:pPr>
        <w:spacing w:line="560" w:lineRule="exact"/>
        <w:ind w:firstLine="643" w:firstLineChars="200"/>
        <w:rPr>
          <w:rFonts w:ascii="仿宋_GB2312" w:eastAsia="仿宋_GB2312"/>
          <w:sz w:val="32"/>
        </w:rPr>
      </w:pPr>
      <w:r>
        <w:rPr>
          <w:rFonts w:hint="eastAsia" w:ascii="楷体_GB2312" w:eastAsia="楷体_GB2312"/>
          <w:b/>
          <w:sz w:val="32"/>
        </w:rPr>
        <w:t>（一）工作人员年龄结构。</w:t>
      </w:r>
      <w:r>
        <w:rPr>
          <w:rFonts w:hint="eastAsia" w:ascii="仿宋_GB2312" w:eastAsia="仿宋_GB2312"/>
          <w:sz w:val="32"/>
        </w:rPr>
        <w:t>35周岁以下工作人员167人，占实有人数（下同）的25.5%；36-45周岁216人，占33%；46-55周岁221人，占33.7%；56周岁以上50人，占7.8%。</w:t>
      </w:r>
    </w:p>
    <w:p>
      <w:pPr>
        <w:ind w:firstLine="640" w:firstLineChars="200"/>
        <w:rPr>
          <w:rFonts w:ascii="仿宋_GB2312" w:eastAsia="仿宋_GB2312"/>
          <w:sz w:val="32"/>
        </w:rPr>
      </w:pPr>
      <w:r>
        <w:rPr>
          <w:rFonts w:hint="eastAsia" w:ascii="仿宋_GB2312" w:eastAsia="仿宋_GB2312"/>
          <w:sz w:val="32"/>
        </w:rPr>
        <w:drawing>
          <wp:inline distT="0" distB="0" distL="0" distR="0">
            <wp:extent cx="4914265" cy="2942590"/>
            <wp:effectExtent l="19050" t="19050" r="19685" b="1016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914265" cy="2942590"/>
                    </a:xfrm>
                    <a:prstGeom prst="rect">
                      <a:avLst/>
                    </a:prstGeom>
                    <a:noFill/>
                    <a:ln w="9525">
                      <a:solidFill>
                        <a:schemeClr val="tx1"/>
                      </a:solid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图5-1：全区社保经办机构工作人员年龄结构图</w:t>
      </w:r>
    </w:p>
    <w:p>
      <w:pPr>
        <w:jc w:val="center"/>
        <w:rPr>
          <w:rFonts w:ascii="仿宋_GB2312" w:eastAsia="仿宋_GB2312"/>
          <w:b/>
          <w:sz w:val="32"/>
        </w:rPr>
      </w:pPr>
    </w:p>
    <w:p>
      <w:pPr>
        <w:spacing w:line="560" w:lineRule="atLeast"/>
        <w:ind w:firstLine="643" w:firstLineChars="200"/>
        <w:rPr>
          <w:rFonts w:ascii="仿宋_GB2312" w:eastAsia="仿宋_GB2312"/>
          <w:sz w:val="32"/>
          <w:szCs w:val="32"/>
        </w:rPr>
      </w:pPr>
      <w:r>
        <w:rPr>
          <w:rFonts w:hint="eastAsia" w:ascii="楷体_GB2312" w:eastAsia="楷体_GB2312"/>
          <w:b/>
          <w:sz w:val="32"/>
        </w:rPr>
        <w:t>（二）工作人员学历结构。</w:t>
      </w:r>
      <w:r>
        <w:rPr>
          <w:rFonts w:hint="eastAsia" w:ascii="仿宋_GB2312" w:eastAsia="仿宋_GB2312"/>
          <w:sz w:val="32"/>
          <w:szCs w:val="32"/>
        </w:rPr>
        <w:t>具有硕士研究生以上学历44人，占6.7%；大学本科学历496人，占75. 9%；大学专科学历108人，占16.5%；高中及以下学历6人，占0.9%。</w:t>
      </w:r>
    </w:p>
    <w:p>
      <w:pPr>
        <w:spacing w:line="560" w:lineRule="atLeast"/>
        <w:jc w:val="center"/>
        <w:rPr>
          <w:rFonts w:ascii="仿宋_GB2312" w:eastAsia="仿宋_GB2312"/>
          <w:sz w:val="32"/>
        </w:rPr>
      </w:pPr>
      <w:r>
        <w:rPr>
          <w:rFonts w:hint="eastAsia" w:ascii="仿宋_GB2312" w:eastAsia="仿宋_GB2312"/>
          <w:sz w:val="32"/>
        </w:rPr>
        <w:drawing>
          <wp:inline distT="0" distB="0" distL="0" distR="0">
            <wp:extent cx="5273040" cy="2807970"/>
            <wp:effectExtent l="19050" t="19050" r="22860" b="1143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43">
                      <a:extLst>
                        <a:ext uri="{28A0092B-C50C-407E-A947-70E740481C1C}">
                          <a14:useLocalDpi xmlns:a14="http://schemas.microsoft.com/office/drawing/2010/main" val="0"/>
                        </a:ext>
                      </a:extLst>
                    </a:blip>
                    <a:srcRect l="1377" t="1364" r="8415" b="11366"/>
                    <a:stretch>
                      <a:fillRect/>
                    </a:stretch>
                  </pic:blipFill>
                  <pic:spPr>
                    <a:xfrm>
                      <a:off x="0" y="0"/>
                      <a:ext cx="5275187" cy="2809021"/>
                    </a:xfrm>
                    <a:prstGeom prst="rect">
                      <a:avLst/>
                    </a:prstGeom>
                    <a:noFill/>
                    <a:ln w="9525">
                      <a:solidFill>
                        <a:schemeClr val="tx1"/>
                      </a:solidFill>
                    </a:ln>
                  </pic:spPr>
                </pic:pic>
              </a:graphicData>
            </a:graphic>
          </wp:inline>
        </w:drawing>
      </w:r>
    </w:p>
    <w:p>
      <w:pPr>
        <w:spacing w:line="560" w:lineRule="atLeast"/>
        <w:jc w:val="center"/>
        <w:rPr>
          <w:rFonts w:ascii="仿宋_GB2312" w:eastAsia="仿宋_GB2312"/>
          <w:sz w:val="32"/>
        </w:rPr>
      </w:pPr>
      <w:r>
        <w:rPr>
          <w:rFonts w:hint="eastAsia" w:ascii="仿宋_GB2312" w:eastAsia="仿宋_GB2312"/>
          <w:sz w:val="28"/>
          <w:szCs w:val="28"/>
        </w:rPr>
        <w:t>图5-2：全区社保经办机构工作人员学历结构图</w:t>
      </w:r>
    </w:p>
    <w:p>
      <w:pPr>
        <w:spacing w:line="560" w:lineRule="atLeast"/>
        <w:ind w:firstLine="643" w:firstLineChars="200"/>
        <w:rPr>
          <w:rFonts w:ascii="仿宋_GB2312" w:eastAsia="仿宋_GB2312"/>
          <w:sz w:val="32"/>
        </w:rPr>
      </w:pPr>
      <w:r>
        <w:rPr>
          <w:rFonts w:hint="eastAsia" w:ascii="楷体_GB2312" w:eastAsia="楷体_GB2312"/>
          <w:b/>
          <w:sz w:val="32"/>
        </w:rPr>
        <w:t>（三）工作人员专业技术职称结构。</w:t>
      </w:r>
      <w:r>
        <w:rPr>
          <w:rFonts w:hint="eastAsia" w:ascii="仿宋_GB2312" w:eastAsia="仿宋_GB2312"/>
          <w:sz w:val="32"/>
        </w:rPr>
        <w:t>具有高级专业技术职称65人，占9.9%；中级职称142人，占21.7%，初级职称129人，占19.7%；无职称318人，占48.7 %。因自治区社保局参公管理，工作人员不评定职称，专业技术职称人数主要分布在市县。</w:t>
      </w:r>
    </w:p>
    <w:p>
      <w:pPr>
        <w:spacing w:line="560" w:lineRule="atLeast"/>
        <w:jc w:val="center"/>
        <w:rPr>
          <w:rFonts w:ascii="仿宋_GB2312" w:eastAsia="仿宋_GB2312"/>
          <w:sz w:val="32"/>
        </w:rPr>
      </w:pPr>
      <w:r>
        <w:rPr>
          <w:rFonts w:hint="eastAsia" w:ascii="仿宋_GB2312" w:eastAsia="仿宋_GB2312"/>
          <w:sz w:val="32"/>
        </w:rPr>
        <w:drawing>
          <wp:inline distT="0" distB="0" distL="0" distR="0">
            <wp:extent cx="5222875" cy="2698115"/>
            <wp:effectExtent l="19050" t="19050" r="15875" b="2603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44">
                      <a:extLst>
                        <a:ext uri="{28A0092B-C50C-407E-A947-70E740481C1C}">
                          <a14:useLocalDpi xmlns:a14="http://schemas.microsoft.com/office/drawing/2010/main" val="0"/>
                        </a:ext>
                      </a:extLst>
                    </a:blip>
                    <a:srcRect l="6269" t="13474" r="24259" b="20228"/>
                    <a:stretch>
                      <a:fillRect/>
                    </a:stretch>
                  </pic:blipFill>
                  <pic:spPr>
                    <a:xfrm>
                      <a:off x="0" y="0"/>
                      <a:ext cx="5245770" cy="2710464"/>
                    </a:xfrm>
                    <a:prstGeom prst="rect">
                      <a:avLst/>
                    </a:prstGeom>
                    <a:noFill/>
                    <a:ln w="9525" cap="flat" cmpd="sng" algn="ctr">
                      <a:solidFill>
                        <a:sysClr val="windowText" lastClr="000000"/>
                      </a:solidFill>
                      <a:prstDash val="solid"/>
                      <a:round/>
                      <a:headEnd type="none" w="med" len="med"/>
                      <a:tailEnd type="none" w="med" len="med"/>
                    </a:ln>
                  </pic:spPr>
                </pic:pic>
              </a:graphicData>
            </a:graphic>
          </wp:inline>
        </w:drawing>
      </w:r>
    </w:p>
    <w:p>
      <w:pPr>
        <w:spacing w:line="560" w:lineRule="atLeast"/>
        <w:jc w:val="center"/>
        <w:rPr>
          <w:rFonts w:ascii="仿宋_GB2312" w:eastAsia="仿宋_GB2312"/>
          <w:sz w:val="32"/>
        </w:rPr>
      </w:pPr>
      <w:r>
        <w:rPr>
          <w:rFonts w:hint="eastAsia" w:ascii="仿宋_GB2312" w:eastAsia="仿宋_GB2312"/>
          <w:sz w:val="28"/>
          <w:szCs w:val="28"/>
        </w:rPr>
        <w:t>图5-3 全区社保经办机构工作人员职称结构图</w:t>
      </w:r>
    </w:p>
    <w:p>
      <w:pPr>
        <w:spacing w:line="560" w:lineRule="atLeast"/>
        <w:ind w:firstLine="643" w:firstLineChars="200"/>
        <w:rPr>
          <w:rFonts w:ascii="仿宋_GB2312" w:eastAsia="仿宋_GB2312"/>
          <w:sz w:val="32"/>
        </w:rPr>
      </w:pPr>
      <w:r>
        <w:rPr>
          <w:rFonts w:hint="eastAsia" w:ascii="楷体_GB2312" w:eastAsia="楷体_GB2312"/>
          <w:b/>
          <w:sz w:val="32"/>
        </w:rPr>
        <w:t>（四）工作人员职务级别结构。</w:t>
      </w:r>
      <w:r>
        <w:rPr>
          <w:rFonts w:hint="eastAsia" w:ascii="仿宋_GB2312" w:eastAsia="仿宋_GB2312"/>
          <w:sz w:val="32"/>
        </w:rPr>
        <w:t>副厅级干部2名（含1名二级巡视员），占0. 3%；处级干部69名，占10.6%；科级干部154名，占23.5%；其他人员429名，占65.6%。副处级以上干部主要集中在省级经办机构和地市级经办机构班子主要成员。</w:t>
      </w:r>
    </w:p>
    <w:p>
      <w:pPr>
        <w:spacing w:line="560" w:lineRule="atLeast"/>
        <w:ind w:firstLine="643" w:firstLineChars="200"/>
        <w:rPr>
          <w:rFonts w:ascii="仿宋_GB2312" w:eastAsia="仿宋_GB2312"/>
          <w:sz w:val="32"/>
        </w:rPr>
      </w:pPr>
      <w:r>
        <w:rPr>
          <w:rFonts w:hint="eastAsia" w:ascii="楷体_GB2312" w:eastAsia="楷体_GB2312"/>
          <w:b/>
          <w:sz w:val="32"/>
        </w:rPr>
        <w:t>（五）工作人员岗位设置情况。</w:t>
      </w:r>
      <w:r>
        <w:rPr>
          <w:rFonts w:hint="eastAsia" w:ascii="仿宋_GB2312" w:eastAsia="仿宋_GB2312"/>
          <w:sz w:val="32"/>
        </w:rPr>
        <w:t>管理岗位158名，占24.2%；财会岗位83名，占12.7%；统计岗位22名，占3.4%；计算机岗位18名，占2.8%；审计稽核岗位57名，占8.7%；其他业务岗位263名，占40.2%；行政文秘岗位27名，占4.1%；人事党团岗位11名，占1.7%；工勤及其他岗位15名，占2.2%。</w:t>
      </w:r>
    </w:p>
    <w:p>
      <w:pPr>
        <w:spacing w:line="560" w:lineRule="atLeast"/>
        <w:jc w:val="center"/>
        <w:rPr>
          <w:rFonts w:ascii="仿宋_GB2312" w:eastAsia="仿宋_GB2312"/>
          <w:sz w:val="32"/>
        </w:rPr>
      </w:pPr>
      <w:r>
        <w:rPr>
          <w:rFonts w:hint="eastAsia" w:ascii="仿宋_GB2312" w:eastAsia="仿宋_GB2312"/>
          <w:sz w:val="32"/>
        </w:rPr>
        <w:drawing>
          <wp:inline distT="0" distB="0" distL="0" distR="0">
            <wp:extent cx="5105400" cy="3120390"/>
            <wp:effectExtent l="19050" t="19050" r="19050" b="2286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45">
                      <a:extLst>
                        <a:ext uri="{28A0092B-C50C-407E-A947-70E740481C1C}">
                          <a14:useLocalDpi xmlns:a14="http://schemas.microsoft.com/office/drawing/2010/main" val="0"/>
                        </a:ext>
                      </a:extLst>
                    </a:blip>
                    <a:srcRect l="6778" t="10044" r="19465" b="31073"/>
                    <a:stretch>
                      <a:fillRect/>
                    </a:stretch>
                  </pic:blipFill>
                  <pic:spPr>
                    <a:xfrm>
                      <a:off x="0" y="0"/>
                      <a:ext cx="5122917" cy="3130964"/>
                    </a:xfrm>
                    <a:prstGeom prst="rect">
                      <a:avLst/>
                    </a:prstGeom>
                    <a:noFill/>
                    <a:ln w="9525">
                      <a:solidFill>
                        <a:schemeClr val="tx1"/>
                      </a:solidFill>
                    </a:ln>
                  </pic:spPr>
                </pic:pic>
              </a:graphicData>
            </a:graphic>
          </wp:inline>
        </w:drawing>
      </w:r>
    </w:p>
    <w:p>
      <w:pPr>
        <w:spacing w:line="560" w:lineRule="atLeast"/>
        <w:jc w:val="center"/>
        <w:rPr>
          <w:rFonts w:ascii="仿宋_GB2312" w:eastAsia="仿宋_GB2312"/>
          <w:b/>
          <w:sz w:val="32"/>
        </w:rPr>
      </w:pPr>
      <w:r>
        <w:rPr>
          <w:rFonts w:hint="eastAsia" w:ascii="仿宋_GB2312" w:eastAsia="仿宋_GB2312"/>
          <w:sz w:val="28"/>
          <w:szCs w:val="28"/>
        </w:rPr>
        <w:t>图5-3：全区社保经办机构工作人员岗位设置结构图</w:t>
      </w:r>
    </w:p>
    <w:p>
      <w:pPr>
        <w:spacing w:line="560" w:lineRule="atLeast"/>
        <w:ind w:firstLine="630"/>
        <w:rPr>
          <w:rFonts w:ascii="仿宋_GB2312" w:eastAsia="仿宋_GB2312"/>
          <w:b/>
          <w:sz w:val="32"/>
        </w:rPr>
      </w:pPr>
      <w:r>
        <w:rPr>
          <w:rFonts w:hint="eastAsia" w:ascii="楷体_GB2312" w:eastAsia="楷体_GB2312"/>
          <w:b/>
          <w:sz w:val="32"/>
        </w:rPr>
        <w:t>（六）工作人员性别比例。</w:t>
      </w:r>
      <w:r>
        <w:rPr>
          <w:rFonts w:hint="eastAsia" w:ascii="仿宋_GB2312" w:eastAsia="仿宋_GB2312"/>
          <w:sz w:val="32"/>
        </w:rPr>
        <w:t>男性277人，占42.4%，女性377人，占57.6%</w:t>
      </w:r>
      <w:r>
        <w:rPr>
          <w:rFonts w:hint="eastAsia" w:ascii="仿宋_GB2312" w:eastAsia="仿宋_GB2312"/>
          <w:b/>
          <w:sz w:val="32"/>
        </w:rPr>
        <w:t>。</w:t>
      </w:r>
    </w:p>
    <w:p>
      <w:pPr>
        <w:spacing w:line="560" w:lineRule="atLeast"/>
        <w:ind w:firstLine="640" w:firstLineChars="200"/>
        <w:rPr>
          <w:rFonts w:ascii="黑体" w:hAnsi="黑体" w:eastAsia="黑体"/>
          <w:sz w:val="32"/>
          <w:szCs w:val="32"/>
        </w:rPr>
      </w:pPr>
      <w:r>
        <w:rPr>
          <w:rFonts w:hint="eastAsia" w:ascii="黑体" w:hAnsi="黑体" w:eastAsia="黑体"/>
          <w:sz w:val="32"/>
          <w:szCs w:val="32"/>
          <w:lang w:val="zh-CN"/>
        </w:rPr>
        <w:t>三、人员编制变化情况</w:t>
      </w:r>
    </w:p>
    <w:p>
      <w:pPr>
        <w:spacing w:line="560" w:lineRule="atLeast"/>
        <w:ind w:firstLine="640" w:firstLineChars="200"/>
        <w:rPr>
          <w:rFonts w:ascii="仿宋_GB2312" w:eastAsia="仿宋_GB2312"/>
          <w:sz w:val="32"/>
        </w:rPr>
      </w:pPr>
      <w:r>
        <w:rPr>
          <w:rFonts w:hint="eastAsia" w:ascii="仿宋_GB2312" w:eastAsia="仿宋_GB2312"/>
          <w:sz w:val="32"/>
        </w:rPr>
        <w:t>2021年，全区社保经办机构核定工作人员编制数684名，比2020年687名减少3名。主要原因是个别市、县（区）社保中心2021年重新核定减少了编制。</w:t>
      </w:r>
    </w:p>
    <w:p>
      <w:pPr>
        <w:spacing w:line="560" w:lineRule="atLeast"/>
        <w:ind w:firstLine="640" w:firstLineChars="200"/>
        <w:rPr>
          <w:rFonts w:ascii="黑体" w:hAnsi="黑体" w:eastAsia="黑体"/>
          <w:sz w:val="32"/>
          <w:szCs w:val="32"/>
          <w:lang w:val="zh-CN"/>
        </w:rPr>
      </w:pPr>
      <w:r>
        <w:rPr>
          <w:rFonts w:hint="eastAsia" w:ascii="黑体" w:hAnsi="黑体" w:eastAsia="黑体"/>
          <w:sz w:val="32"/>
          <w:szCs w:val="32"/>
          <w:lang w:val="zh-CN"/>
        </w:rPr>
        <w:t>四、服务人次情况</w:t>
      </w:r>
    </w:p>
    <w:p>
      <w:pPr>
        <w:ind w:firstLine="640" w:firstLineChars="200"/>
        <w:rPr>
          <w:rFonts w:ascii="仿宋_GB2312" w:eastAsia="仿宋_GB2312"/>
          <w:sz w:val="32"/>
          <w:szCs w:val="32"/>
        </w:rPr>
      </w:pPr>
      <w:r>
        <w:rPr>
          <w:rFonts w:hint="eastAsia" w:ascii="仿宋_GB2312" w:eastAsia="仿宋_GB2312"/>
          <w:color w:val="000000"/>
          <w:sz w:val="32"/>
          <w:szCs w:val="32"/>
        </w:rPr>
        <w:t>截至2021年12月底，</w:t>
      </w:r>
      <w:r>
        <w:rPr>
          <w:rFonts w:hint="eastAsia" w:ascii="仿宋_GB2312" w:eastAsia="仿宋_GB2312"/>
          <w:sz w:val="32"/>
          <w:szCs w:val="32"/>
        </w:rPr>
        <w:t>全区城镇职</w:t>
      </w:r>
      <w:r>
        <w:rPr>
          <w:rFonts w:hint="eastAsia" w:ascii="仿宋_GB2312" w:eastAsia="仿宋_GB2312"/>
          <w:color w:val="000000"/>
          <w:sz w:val="32"/>
          <w:szCs w:val="32"/>
        </w:rPr>
        <w:t>工</w:t>
      </w:r>
      <w:r>
        <w:rPr>
          <w:rFonts w:hint="eastAsia" w:ascii="仿宋_GB2312" w:eastAsia="仿宋_GB2312"/>
          <w:bCs/>
          <w:color w:val="000000"/>
          <w:sz w:val="32"/>
          <w:szCs w:val="32"/>
        </w:rPr>
        <w:t>基本养老保险</w:t>
      </w:r>
      <w:r>
        <w:rPr>
          <w:rFonts w:hint="eastAsia" w:ascii="仿宋_GB2312" w:eastAsia="仿宋_GB2312"/>
          <w:color w:val="000000"/>
          <w:sz w:val="32"/>
          <w:szCs w:val="32"/>
        </w:rPr>
        <w:t>、失业保</w:t>
      </w:r>
      <w:r>
        <w:rPr>
          <w:rFonts w:hint="eastAsia" w:ascii="仿宋_GB2312" w:eastAsia="仿宋_GB2312"/>
          <w:sz w:val="32"/>
          <w:szCs w:val="32"/>
        </w:rPr>
        <w:t>险、工伤保险、</w:t>
      </w:r>
      <w:r>
        <w:rPr>
          <w:rFonts w:hint="eastAsia" w:ascii="仿宋_GB2312" w:eastAsia="仿宋_GB2312"/>
          <w:bCs/>
          <w:sz w:val="32"/>
          <w:szCs w:val="32"/>
        </w:rPr>
        <w:t>城乡居民养老保险</w:t>
      </w:r>
      <w:r>
        <w:rPr>
          <w:rFonts w:hint="eastAsia" w:ascii="仿宋_GB2312" w:eastAsia="仿宋_GB2312"/>
          <w:sz w:val="32"/>
          <w:szCs w:val="32"/>
        </w:rPr>
        <w:t>参保人数分别达到252.11万人、109.07万人、143.79万人、230.74万人，</w:t>
      </w:r>
      <w:r>
        <w:rPr>
          <w:rFonts w:hint="eastAsia" w:ascii="仿宋_GB2312" w:eastAsia="仿宋_GB2312"/>
          <w:bCs/>
          <w:sz w:val="32"/>
          <w:szCs w:val="32"/>
        </w:rPr>
        <w:t>参保总人数达到</w:t>
      </w:r>
      <w:r>
        <w:rPr>
          <w:rFonts w:hint="eastAsia" w:ascii="仿宋_GB2312" w:eastAsia="仿宋_GB2312"/>
          <w:bCs/>
          <w:color w:val="000000"/>
          <w:sz w:val="32"/>
          <w:szCs w:val="32"/>
        </w:rPr>
        <w:t>735.71万</w:t>
      </w:r>
      <w:r>
        <w:rPr>
          <w:rFonts w:hint="eastAsia" w:ascii="仿宋_GB2312" w:eastAsia="仿宋_GB2312"/>
          <w:bCs/>
          <w:sz w:val="32"/>
          <w:szCs w:val="32"/>
        </w:rPr>
        <w:t>人次，</w:t>
      </w:r>
      <w:r>
        <w:rPr>
          <w:rFonts w:hint="eastAsia" w:ascii="仿宋_GB2312" w:eastAsia="仿宋_GB2312"/>
          <w:sz w:val="32"/>
          <w:szCs w:val="32"/>
        </w:rPr>
        <w:t>全区社保经办机构核编684名，人均服务比达到1：10756人次。</w:t>
      </w:r>
    </w:p>
    <w:p>
      <w:pPr>
        <w:ind w:firstLine="640" w:firstLineChars="200"/>
        <w:rPr>
          <w:rFonts w:ascii="仿宋_GB2312" w:eastAsia="仿宋_GB2312"/>
          <w:sz w:val="32"/>
          <w:szCs w:val="32"/>
        </w:rPr>
      </w:pPr>
    </w:p>
    <w:p>
      <w:pPr>
        <w:spacing w:line="600" w:lineRule="exact"/>
        <w:jc w:val="center"/>
        <w:rPr>
          <w:rFonts w:ascii="方正小标宋_GBK" w:eastAsia="方正小标宋_GBK"/>
          <w:sz w:val="44"/>
          <w:szCs w:val="44"/>
        </w:rPr>
      </w:pPr>
      <w:r>
        <w:rPr>
          <w:rFonts w:hint="eastAsia" w:ascii="黑体" w:hAnsi="黑体" w:eastAsia="黑体" w:cs="黑体"/>
          <w:sz w:val="32"/>
          <w:szCs w:val="32"/>
        </w:rPr>
        <w:t>第六部分</w:t>
      </w:r>
      <w:r>
        <w:rPr>
          <w:rFonts w:ascii="黑体" w:hAnsi="黑体" w:eastAsia="黑体" w:cs="黑体"/>
          <w:sz w:val="32"/>
          <w:szCs w:val="32"/>
        </w:rPr>
        <w:t xml:space="preserve"> </w:t>
      </w:r>
      <w:r>
        <w:rPr>
          <w:rFonts w:hint="eastAsia" w:ascii="黑体" w:hAnsi="黑体" w:eastAsia="黑体" w:cs="黑体"/>
          <w:sz w:val="32"/>
          <w:szCs w:val="32"/>
        </w:rPr>
        <w:t>信息化及社会保障卡建设</w:t>
      </w:r>
    </w:p>
    <w:p>
      <w:pPr>
        <w:spacing w:line="600" w:lineRule="exact"/>
        <w:rPr>
          <w:rFonts w:ascii="仿宋_GB2312" w:eastAsia="仿宋_GB2312"/>
          <w:sz w:val="32"/>
          <w:szCs w:val="32"/>
        </w:rPr>
      </w:pPr>
    </w:p>
    <w:p>
      <w:pPr>
        <w:spacing w:line="560" w:lineRule="exact"/>
        <w:ind w:firstLine="640" w:firstLineChars="200"/>
        <w:rPr>
          <w:rFonts w:ascii="黑体" w:hAnsi="黑体" w:eastAsia="黑体"/>
          <w:sz w:val="32"/>
          <w:szCs w:val="32"/>
        </w:rPr>
      </w:pPr>
      <w:r>
        <w:rPr>
          <w:rFonts w:hint="eastAsia" w:ascii="黑体" w:hAnsi="黑体" w:eastAsia="黑体"/>
          <w:sz w:val="32"/>
          <w:szCs w:val="32"/>
        </w:rPr>
        <w:t>一、社会保险信息化建设情况</w:t>
      </w:r>
    </w:p>
    <w:p>
      <w:pPr>
        <w:spacing w:line="560" w:lineRule="exact"/>
        <w:ind w:firstLine="643" w:firstLineChars="200"/>
        <w:rPr>
          <w:rFonts w:ascii="楷体_GB2312" w:eastAsia="楷体_GB2312"/>
          <w:b/>
          <w:sz w:val="32"/>
        </w:rPr>
      </w:pPr>
      <w:r>
        <w:rPr>
          <w:rFonts w:hint="eastAsia" w:ascii="楷体_GB2312" w:eastAsia="楷体_GB2312"/>
          <w:b/>
          <w:sz w:val="32"/>
        </w:rPr>
        <w:t>（一）信息系统需求开发情况</w:t>
      </w:r>
    </w:p>
    <w:p>
      <w:pPr>
        <w:spacing w:line="560" w:lineRule="exact"/>
        <w:ind w:firstLine="640" w:firstLineChars="200"/>
        <w:rPr>
          <w:rFonts w:ascii="仿宋_GB2312" w:eastAsia="仿宋_GB2312"/>
          <w:bCs/>
          <w:sz w:val="32"/>
          <w:szCs w:val="32"/>
        </w:rPr>
      </w:pPr>
      <w:r>
        <w:rPr>
          <w:rFonts w:hint="eastAsia" w:ascii="仿宋_GB2312" w:eastAsia="仿宋_GB2312"/>
          <w:sz w:val="32"/>
          <w:szCs w:val="32"/>
        </w:rPr>
        <w:t>2021年，处内工作人员根据职责分工分别对接有关业务单位（处室），共同抓好信息系统需求、开发、运维、监督各个环节的基础上，</w:t>
      </w:r>
      <w:r>
        <w:rPr>
          <w:rFonts w:hint="eastAsia" w:ascii="仿宋_GB2312" w:eastAsia="仿宋_GB2312"/>
          <w:bCs/>
          <w:sz w:val="32"/>
          <w:szCs w:val="32"/>
        </w:rPr>
        <w:t>严格执行《宁夏社会保险信息系统需求开发运</w:t>
      </w:r>
      <w:r>
        <w:rPr>
          <w:rFonts w:hint="eastAsia" w:ascii="仿宋_GB2312" w:eastAsia="仿宋_GB2312"/>
          <w:sz w:val="32"/>
          <w:szCs w:val="32"/>
        </w:rPr>
        <w:t>行维护管理办法（试行）》，共接收处理各类业务需求686</w:t>
      </w:r>
      <w:r>
        <w:rPr>
          <w:rFonts w:hint="eastAsia" w:ascii="仿宋_GB2312" w:eastAsia="仿宋_GB2312"/>
          <w:bCs/>
          <w:sz w:val="32"/>
          <w:szCs w:val="32"/>
        </w:rPr>
        <w:t>件，685件已办结，1件办理中。其中，涉及企业职工及城乡居民养老保险需求468件，涉及机关事业单位养老保险需求150件，涉及工伤保险需求17件，涉及社保基金（财务）需求2件，涉及医疗保险需求48件，业务档案需求1件。</w:t>
      </w:r>
    </w:p>
    <w:p>
      <w:pPr>
        <w:spacing w:line="560" w:lineRule="exact"/>
        <w:ind w:firstLine="640" w:firstLineChars="200"/>
        <w:rPr>
          <w:rFonts w:ascii="仿宋_GB2312" w:eastAsia="仿宋_GB2312"/>
          <w:bCs/>
          <w:sz w:val="32"/>
          <w:szCs w:val="32"/>
        </w:rPr>
      </w:pPr>
    </w:p>
    <w:p>
      <w:pPr>
        <w:jc w:val="center"/>
        <w:rPr>
          <w:rFonts w:ascii="仿宋_GB2312" w:eastAsia="仿宋_GB2312"/>
          <w:b/>
          <w:sz w:val="32"/>
          <w:szCs w:val="32"/>
        </w:rPr>
      </w:pPr>
      <w:bookmarkStart w:id="0" w:name="_1696083294"/>
      <w:bookmarkEnd w:id="0"/>
      <w:bookmarkStart w:id="1" w:name="_1696083244"/>
      <w:bookmarkEnd w:id="1"/>
      <w:bookmarkStart w:id="2" w:name="_1696083185"/>
      <w:bookmarkEnd w:id="2"/>
      <w:bookmarkStart w:id="3" w:name="_1696083272"/>
      <w:bookmarkEnd w:id="3"/>
      <w:r>
        <w:rPr>
          <w:rFonts w:hint="eastAsia" w:ascii="仿宋_GB2312" w:eastAsia="仿宋_GB2312"/>
          <w:b/>
          <w:sz w:val="32"/>
          <w:szCs w:val="32"/>
          <w:bdr w:val="single" w:color="808080" w:sz="4" w:space="0"/>
        </w:rPr>
        <w:object>
          <v:shape id="_x0000_i1027" o:spt="75" type="#_x0000_t75" style="height:223.5pt;width:392.25pt;" o:ole="t" filled="f" o:preferrelative="t" stroked="f" coordsize="21600,21600">
            <v:path/>
            <v:fill on="f" focussize="0,0"/>
            <v:stroke on="f" joinstyle="miter"/>
            <v:imagedata r:id="rId47" o:title=""/>
            <o:lock v:ext="edit" aspectratio="t"/>
            <w10:wrap type="none"/>
            <w10:anchorlock/>
          </v:shape>
          <o:OLEObject Type="Embed" ProgID="Excel.Sheet.8" ShapeID="_x0000_i1027" DrawAspect="Content" ObjectID="_1468075728" r:id="rId46">
            <o:LockedField>false</o:LockedField>
          </o:OLEObject>
        </w:object>
      </w:r>
    </w:p>
    <w:p>
      <w:pPr>
        <w:spacing w:line="560" w:lineRule="exact"/>
        <w:ind w:firstLine="560" w:firstLineChars="200"/>
        <w:jc w:val="center"/>
        <w:rPr>
          <w:rFonts w:ascii="仿宋_GB2312" w:eastAsia="仿宋_GB2312"/>
          <w:sz w:val="28"/>
          <w:szCs w:val="28"/>
        </w:rPr>
      </w:pPr>
      <w:r>
        <w:rPr>
          <w:rFonts w:hint="eastAsia" w:ascii="仿宋_GB2312" w:eastAsia="仿宋_GB2312"/>
          <w:sz w:val="28"/>
          <w:szCs w:val="28"/>
        </w:rPr>
        <w:t>图6-1：信息系统需求开发情况表</w:t>
      </w:r>
    </w:p>
    <w:p>
      <w:pPr>
        <w:spacing w:line="560" w:lineRule="exact"/>
        <w:ind w:firstLine="643" w:firstLineChars="200"/>
        <w:rPr>
          <w:rFonts w:ascii="仿宋_GB2312" w:eastAsia="仿宋_GB2312"/>
          <w:b/>
          <w:sz w:val="32"/>
          <w:szCs w:val="32"/>
        </w:rPr>
      </w:pPr>
    </w:p>
    <w:p>
      <w:pPr>
        <w:spacing w:line="560" w:lineRule="exact"/>
        <w:ind w:firstLine="643" w:firstLineChars="200"/>
        <w:rPr>
          <w:rFonts w:ascii="楷体_GB2312" w:eastAsia="楷体_GB2312"/>
          <w:b/>
          <w:sz w:val="32"/>
        </w:rPr>
      </w:pPr>
      <w:r>
        <w:rPr>
          <w:rFonts w:hint="eastAsia" w:ascii="楷体_GB2312" w:eastAsia="楷体_GB2312"/>
          <w:b/>
          <w:sz w:val="32"/>
        </w:rPr>
        <w:t>（二）数据共享比对情况</w:t>
      </w:r>
    </w:p>
    <w:p>
      <w:pPr>
        <w:spacing w:line="560" w:lineRule="exact"/>
        <w:ind w:firstLine="643" w:firstLineChars="200"/>
        <w:rPr>
          <w:rFonts w:ascii="仿宋_GB2312" w:eastAsia="仿宋_GB2312"/>
          <w:b/>
          <w:color w:val="000000"/>
          <w:sz w:val="32"/>
          <w:szCs w:val="32"/>
          <w:lang w:bidi="ar"/>
        </w:rPr>
      </w:pPr>
      <w:r>
        <w:rPr>
          <w:rFonts w:hint="eastAsia" w:ascii="仿宋_GB2312" w:eastAsia="仿宋_GB2312"/>
          <w:b/>
          <w:sz w:val="32"/>
          <w:szCs w:val="32"/>
        </w:rPr>
        <w:t>1.提供数据情况。</w:t>
      </w:r>
      <w:r>
        <w:rPr>
          <w:rFonts w:hint="eastAsia" w:ascii="仿宋_GB2312" w:eastAsia="仿宋_GB2312"/>
          <w:sz w:val="32"/>
          <w:szCs w:val="32"/>
        </w:rPr>
        <w:t>分别向</w:t>
      </w:r>
      <w:r>
        <w:rPr>
          <w:rFonts w:hint="eastAsia" w:ascii="仿宋_GB2312" w:eastAsia="仿宋_GB2312"/>
          <w:bCs/>
          <w:sz w:val="32"/>
          <w:szCs w:val="32"/>
        </w:rPr>
        <w:t>审计署西安特派办赴宁夏国家重大政策措施情况审计组、自治区审计厅、自治区公安厅经侦总队、自治区乡村振兴局、自治区保健局、自治区残联、退役军人事务厅、银川市社保中心等提供企业数据11.90万条，个人数据1473.02万条，</w:t>
      </w:r>
      <w:r>
        <w:rPr>
          <w:rFonts w:hint="eastAsia" w:ascii="仿宋_GB2312" w:eastAsia="仿宋_GB2312"/>
          <w:color w:val="000000"/>
          <w:sz w:val="32"/>
          <w:szCs w:val="32"/>
          <w:lang w:bidi="ar"/>
        </w:rPr>
        <w:t>及时为厅局、基层人社等多家单</w:t>
      </w:r>
      <w:r>
        <w:rPr>
          <w:rFonts w:hint="eastAsia" w:ascii="仿宋_GB2312" w:eastAsia="仿宋_GB2312"/>
          <w:bCs/>
          <w:color w:val="000000"/>
          <w:sz w:val="32"/>
          <w:szCs w:val="32"/>
          <w:lang w:bidi="ar"/>
        </w:rPr>
        <w:t>位提供</w:t>
      </w:r>
      <w:r>
        <w:rPr>
          <w:rFonts w:hint="eastAsia" w:ascii="仿宋_GB2312" w:eastAsia="仿宋_GB2312"/>
          <w:color w:val="000000"/>
          <w:sz w:val="32"/>
          <w:szCs w:val="32"/>
          <w:lang w:bidi="ar"/>
        </w:rPr>
        <w:t>数据协查服务</w:t>
      </w:r>
      <w:r>
        <w:rPr>
          <w:rFonts w:hint="eastAsia" w:ascii="仿宋_GB2312" w:eastAsia="仿宋_GB2312"/>
          <w:bCs/>
          <w:sz w:val="32"/>
          <w:szCs w:val="32"/>
        </w:rPr>
        <w:t>，</w:t>
      </w:r>
      <w:r>
        <w:rPr>
          <w:rFonts w:hint="eastAsia" w:ascii="仿宋_GB2312" w:eastAsia="仿宋_GB2312"/>
          <w:color w:val="000000"/>
          <w:sz w:val="32"/>
          <w:szCs w:val="32"/>
          <w:lang w:bidi="ar"/>
        </w:rPr>
        <w:t>被自治区第七次人口普查领导小组授予“全区第七次全国人口普查先进集体”荣誉称号</w:t>
      </w:r>
      <w:r>
        <w:rPr>
          <w:rFonts w:hint="eastAsia" w:ascii="仿宋_GB2312" w:eastAsia="仿宋_GB2312"/>
          <w:b/>
          <w:color w:val="000000"/>
          <w:sz w:val="32"/>
          <w:szCs w:val="32"/>
          <w:lang w:bidi="ar"/>
        </w:rPr>
        <w:t>。</w:t>
      </w:r>
    </w:p>
    <w:p>
      <w:pPr>
        <w:spacing w:line="560" w:lineRule="exact"/>
        <w:ind w:firstLine="640" w:firstLineChars="200"/>
        <w:rPr>
          <w:rFonts w:ascii="仿宋_GB2312" w:eastAsia="仿宋_GB2312"/>
          <w:bCs/>
          <w:color w:val="FF0000"/>
          <w:sz w:val="32"/>
          <w:szCs w:val="32"/>
        </w:rPr>
      </w:pPr>
    </w:p>
    <w:p>
      <w:pPr>
        <w:spacing w:line="360" w:lineRule="exact"/>
        <w:jc w:val="center"/>
        <w:rPr>
          <w:rFonts w:ascii="仿宋_GB2312" w:eastAsia="仿宋_GB2312"/>
          <w:bCs/>
          <w:sz w:val="28"/>
          <w:szCs w:val="28"/>
        </w:rPr>
      </w:pPr>
      <w:r>
        <w:rPr>
          <w:rFonts w:hint="eastAsia" w:ascii="仿宋_GB2312" w:eastAsia="仿宋_GB2312"/>
          <w:sz w:val="28"/>
          <w:szCs w:val="28"/>
        </w:rPr>
        <w:t>表6-1：</w:t>
      </w:r>
      <w:r>
        <w:rPr>
          <w:rFonts w:hint="eastAsia" w:ascii="仿宋_GB2312" w:eastAsia="仿宋_GB2312"/>
          <w:bCs/>
          <w:sz w:val="28"/>
          <w:szCs w:val="28"/>
        </w:rPr>
        <w:t>提供数据情况表</w:t>
      </w:r>
    </w:p>
    <w:tbl>
      <w:tblPr>
        <w:tblStyle w:val="23"/>
        <w:tblW w:w="846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7"/>
        <w:gridCol w:w="3741"/>
        <w:gridCol w:w="1717"/>
        <w:gridCol w:w="1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blHeader/>
          <w:jc w:val="center"/>
        </w:trPr>
        <w:tc>
          <w:tcPr>
            <w:tcW w:w="1287" w:type="dxa"/>
            <w:vAlign w:val="center"/>
          </w:tcPr>
          <w:p>
            <w:pPr>
              <w:spacing w:line="360" w:lineRule="exact"/>
              <w:jc w:val="center"/>
              <w:rPr>
                <w:rFonts w:ascii="黑体" w:hAnsi="黑体" w:eastAsia="黑体"/>
                <w:sz w:val="22"/>
                <w:szCs w:val="24"/>
              </w:rPr>
            </w:pPr>
            <w:bookmarkStart w:id="4" w:name="OLE_LINK3"/>
            <w:r>
              <w:rPr>
                <w:rFonts w:hint="eastAsia" w:ascii="黑体" w:hAnsi="黑体" w:eastAsia="黑体"/>
                <w:sz w:val="22"/>
                <w:szCs w:val="24"/>
              </w:rPr>
              <w:t>序号</w:t>
            </w:r>
          </w:p>
        </w:tc>
        <w:tc>
          <w:tcPr>
            <w:tcW w:w="3741" w:type="dxa"/>
            <w:vAlign w:val="center"/>
          </w:tcPr>
          <w:p>
            <w:pPr>
              <w:spacing w:line="360" w:lineRule="exact"/>
              <w:jc w:val="center"/>
              <w:rPr>
                <w:rFonts w:ascii="黑体" w:hAnsi="黑体" w:eastAsia="黑体"/>
                <w:sz w:val="22"/>
                <w:szCs w:val="24"/>
              </w:rPr>
            </w:pPr>
            <w:r>
              <w:rPr>
                <w:rFonts w:hint="eastAsia" w:ascii="黑体" w:hAnsi="黑体" w:eastAsia="黑体"/>
                <w:sz w:val="22"/>
                <w:szCs w:val="24"/>
              </w:rPr>
              <w:t>单位名称</w:t>
            </w:r>
          </w:p>
        </w:tc>
        <w:tc>
          <w:tcPr>
            <w:tcW w:w="1717" w:type="dxa"/>
            <w:vAlign w:val="center"/>
          </w:tcPr>
          <w:p>
            <w:pPr>
              <w:spacing w:line="360" w:lineRule="exact"/>
              <w:jc w:val="center"/>
              <w:rPr>
                <w:rFonts w:ascii="黑体" w:hAnsi="黑体" w:eastAsia="黑体"/>
                <w:sz w:val="22"/>
                <w:szCs w:val="24"/>
              </w:rPr>
            </w:pPr>
            <w:r>
              <w:rPr>
                <w:rFonts w:hint="eastAsia" w:ascii="黑体" w:hAnsi="黑体" w:eastAsia="黑体"/>
                <w:sz w:val="22"/>
                <w:szCs w:val="24"/>
              </w:rPr>
              <w:t>企业数据（条）</w:t>
            </w:r>
          </w:p>
        </w:tc>
        <w:tc>
          <w:tcPr>
            <w:tcW w:w="1718" w:type="dxa"/>
            <w:vAlign w:val="center"/>
          </w:tcPr>
          <w:p>
            <w:pPr>
              <w:spacing w:line="360" w:lineRule="exact"/>
              <w:jc w:val="center"/>
              <w:rPr>
                <w:rFonts w:ascii="黑体" w:hAnsi="黑体" w:eastAsia="黑体"/>
                <w:sz w:val="22"/>
                <w:szCs w:val="24"/>
              </w:rPr>
            </w:pPr>
            <w:r>
              <w:rPr>
                <w:rFonts w:hint="eastAsia" w:ascii="黑体" w:hAnsi="黑体" w:eastAsia="黑体"/>
                <w:sz w:val="22"/>
                <w:szCs w:val="24"/>
              </w:rPr>
              <w:t>个人数据（条）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87" w:type="dxa"/>
            <w:vAlign w:val="center"/>
          </w:tcPr>
          <w:p>
            <w:pPr>
              <w:spacing w:line="520" w:lineRule="exact"/>
              <w:jc w:val="center"/>
              <w:rPr>
                <w:rFonts w:ascii="仿宋_GB2312" w:eastAsia="仿宋_GB2312"/>
                <w:sz w:val="22"/>
                <w:szCs w:val="24"/>
              </w:rPr>
            </w:pPr>
            <w:r>
              <w:rPr>
                <w:rFonts w:hint="eastAsia" w:ascii="仿宋_GB2312" w:eastAsia="仿宋_GB2312"/>
                <w:sz w:val="22"/>
                <w:szCs w:val="24"/>
              </w:rPr>
              <w:t>1</w:t>
            </w:r>
          </w:p>
        </w:tc>
        <w:tc>
          <w:tcPr>
            <w:tcW w:w="3741" w:type="dxa"/>
            <w:vAlign w:val="center"/>
          </w:tcPr>
          <w:p>
            <w:pPr>
              <w:spacing w:line="240" w:lineRule="exact"/>
              <w:rPr>
                <w:rFonts w:ascii="仿宋_GB2312" w:eastAsia="仿宋_GB2312"/>
                <w:sz w:val="22"/>
              </w:rPr>
            </w:pPr>
            <w:r>
              <w:rPr>
                <w:rFonts w:hint="eastAsia" w:ascii="仿宋_GB2312" w:eastAsia="仿宋_GB2312"/>
                <w:sz w:val="22"/>
                <w:szCs w:val="24"/>
              </w:rPr>
              <w:t>审计署西安特派办赴宁夏国家重大政策措施情况审计组</w:t>
            </w:r>
          </w:p>
        </w:tc>
        <w:tc>
          <w:tcPr>
            <w:tcW w:w="1717" w:type="dxa"/>
            <w:vAlign w:val="center"/>
          </w:tcPr>
          <w:p>
            <w:pPr>
              <w:spacing w:line="520" w:lineRule="exact"/>
              <w:jc w:val="center"/>
              <w:rPr>
                <w:rFonts w:ascii="仿宋_GB2312" w:eastAsia="仿宋_GB2312"/>
                <w:sz w:val="22"/>
                <w:szCs w:val="24"/>
              </w:rPr>
            </w:pPr>
            <w:r>
              <w:rPr>
                <w:rFonts w:hint="eastAsia" w:ascii="仿宋_GB2312" w:eastAsia="仿宋_GB2312"/>
                <w:sz w:val="22"/>
                <w:szCs w:val="30"/>
              </w:rPr>
              <w:t>118044</w:t>
            </w:r>
          </w:p>
        </w:tc>
        <w:tc>
          <w:tcPr>
            <w:tcW w:w="1718" w:type="dxa"/>
            <w:vAlign w:val="center"/>
          </w:tcPr>
          <w:p>
            <w:pPr>
              <w:spacing w:line="520" w:lineRule="exact"/>
              <w:jc w:val="center"/>
              <w:rPr>
                <w:rFonts w:ascii="仿宋_GB2312" w:eastAsia="仿宋_GB2312"/>
                <w:sz w:val="22"/>
                <w:szCs w:val="24"/>
              </w:rPr>
            </w:pPr>
            <w:r>
              <w:rPr>
                <w:rFonts w:hint="eastAsia" w:ascii="仿宋_GB2312" w:eastAsia="仿宋_GB2312"/>
                <w:sz w:val="22"/>
                <w:szCs w:val="24"/>
              </w:rPr>
              <w:t>2746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87" w:type="dxa"/>
            <w:vAlign w:val="center"/>
          </w:tcPr>
          <w:p>
            <w:pPr>
              <w:spacing w:line="520" w:lineRule="exact"/>
              <w:jc w:val="center"/>
              <w:rPr>
                <w:rFonts w:ascii="仿宋_GB2312" w:eastAsia="仿宋_GB2312"/>
                <w:sz w:val="22"/>
                <w:szCs w:val="24"/>
              </w:rPr>
            </w:pPr>
            <w:r>
              <w:rPr>
                <w:rFonts w:hint="eastAsia" w:ascii="仿宋_GB2312" w:eastAsia="仿宋_GB2312"/>
                <w:sz w:val="22"/>
                <w:szCs w:val="24"/>
              </w:rPr>
              <w:t>2</w:t>
            </w:r>
          </w:p>
        </w:tc>
        <w:tc>
          <w:tcPr>
            <w:tcW w:w="3741" w:type="dxa"/>
            <w:vAlign w:val="center"/>
          </w:tcPr>
          <w:p>
            <w:pPr>
              <w:spacing w:line="240" w:lineRule="exact"/>
              <w:rPr>
                <w:rFonts w:ascii="仿宋_GB2312" w:eastAsia="仿宋_GB2312"/>
                <w:sz w:val="22"/>
                <w:szCs w:val="24"/>
              </w:rPr>
            </w:pPr>
            <w:r>
              <w:rPr>
                <w:rFonts w:hint="eastAsia" w:ascii="仿宋_GB2312" w:eastAsia="仿宋_GB2312"/>
                <w:sz w:val="22"/>
                <w:szCs w:val="24"/>
              </w:rPr>
              <w:t>自治区审计厅</w:t>
            </w:r>
          </w:p>
        </w:tc>
        <w:tc>
          <w:tcPr>
            <w:tcW w:w="1717" w:type="dxa"/>
            <w:vAlign w:val="center"/>
          </w:tcPr>
          <w:p>
            <w:pPr>
              <w:spacing w:line="520" w:lineRule="exact"/>
              <w:jc w:val="center"/>
              <w:rPr>
                <w:rFonts w:ascii="仿宋_GB2312" w:eastAsia="仿宋_GB2312"/>
                <w:sz w:val="22"/>
                <w:szCs w:val="30"/>
              </w:rPr>
            </w:pPr>
          </w:p>
        </w:tc>
        <w:tc>
          <w:tcPr>
            <w:tcW w:w="1718" w:type="dxa"/>
            <w:vAlign w:val="center"/>
          </w:tcPr>
          <w:p>
            <w:pPr>
              <w:spacing w:line="520" w:lineRule="exact"/>
              <w:jc w:val="center"/>
              <w:rPr>
                <w:rFonts w:ascii="仿宋_GB2312" w:eastAsia="仿宋_GB2312"/>
                <w:sz w:val="22"/>
                <w:szCs w:val="24"/>
              </w:rPr>
            </w:pPr>
            <w:r>
              <w:rPr>
                <w:rFonts w:hint="eastAsia" w:ascii="仿宋_GB2312" w:eastAsia="仿宋_GB2312"/>
                <w:sz w:val="22"/>
                <w:szCs w:val="24"/>
              </w:rPr>
              <w:t>30865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87" w:type="dxa"/>
            <w:vAlign w:val="center"/>
          </w:tcPr>
          <w:p>
            <w:pPr>
              <w:spacing w:line="520" w:lineRule="exact"/>
              <w:jc w:val="center"/>
              <w:rPr>
                <w:rFonts w:ascii="仿宋_GB2312" w:eastAsia="仿宋_GB2312"/>
                <w:sz w:val="22"/>
                <w:szCs w:val="24"/>
              </w:rPr>
            </w:pPr>
            <w:r>
              <w:rPr>
                <w:rFonts w:hint="eastAsia" w:ascii="仿宋_GB2312" w:eastAsia="仿宋_GB2312"/>
                <w:sz w:val="22"/>
                <w:szCs w:val="24"/>
              </w:rPr>
              <w:t>3</w:t>
            </w:r>
          </w:p>
        </w:tc>
        <w:tc>
          <w:tcPr>
            <w:tcW w:w="3741" w:type="dxa"/>
            <w:vAlign w:val="center"/>
          </w:tcPr>
          <w:p>
            <w:pPr>
              <w:spacing w:line="240" w:lineRule="exact"/>
              <w:rPr>
                <w:rFonts w:ascii="仿宋_GB2312" w:eastAsia="仿宋_GB2312"/>
                <w:sz w:val="22"/>
                <w:szCs w:val="24"/>
              </w:rPr>
            </w:pPr>
            <w:r>
              <w:rPr>
                <w:rFonts w:hint="eastAsia" w:ascii="仿宋_GB2312" w:eastAsia="仿宋_GB2312"/>
                <w:sz w:val="22"/>
                <w:szCs w:val="24"/>
              </w:rPr>
              <w:t>自治区纪委、巡视组</w:t>
            </w:r>
          </w:p>
        </w:tc>
        <w:tc>
          <w:tcPr>
            <w:tcW w:w="1717" w:type="dxa"/>
            <w:vAlign w:val="center"/>
          </w:tcPr>
          <w:p>
            <w:pPr>
              <w:spacing w:line="520" w:lineRule="exact"/>
              <w:jc w:val="center"/>
              <w:rPr>
                <w:rFonts w:ascii="仿宋_GB2312" w:eastAsia="仿宋_GB2312"/>
                <w:sz w:val="22"/>
                <w:szCs w:val="24"/>
              </w:rPr>
            </w:pPr>
          </w:p>
        </w:tc>
        <w:tc>
          <w:tcPr>
            <w:tcW w:w="1718" w:type="dxa"/>
            <w:vAlign w:val="center"/>
          </w:tcPr>
          <w:p>
            <w:pPr>
              <w:spacing w:line="520" w:lineRule="exact"/>
              <w:jc w:val="center"/>
              <w:rPr>
                <w:rFonts w:ascii="仿宋_GB2312" w:eastAsia="仿宋_GB2312"/>
                <w:sz w:val="22"/>
                <w:szCs w:val="24"/>
              </w:rPr>
            </w:pPr>
            <w:r>
              <w:rPr>
                <w:rFonts w:hint="eastAsia" w:ascii="仿宋_GB2312" w:eastAsia="仿宋_GB2312"/>
                <w:sz w:val="22"/>
                <w:szCs w:val="24"/>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87" w:type="dxa"/>
            <w:vAlign w:val="center"/>
          </w:tcPr>
          <w:p>
            <w:pPr>
              <w:spacing w:line="520" w:lineRule="exact"/>
              <w:jc w:val="center"/>
              <w:rPr>
                <w:rFonts w:ascii="仿宋_GB2312" w:eastAsia="仿宋_GB2312"/>
                <w:sz w:val="22"/>
                <w:szCs w:val="24"/>
              </w:rPr>
            </w:pPr>
            <w:r>
              <w:rPr>
                <w:rFonts w:hint="eastAsia" w:ascii="仿宋_GB2312" w:eastAsia="仿宋_GB2312"/>
                <w:sz w:val="22"/>
                <w:szCs w:val="24"/>
              </w:rPr>
              <w:t>4</w:t>
            </w:r>
          </w:p>
        </w:tc>
        <w:tc>
          <w:tcPr>
            <w:tcW w:w="3741" w:type="dxa"/>
            <w:vAlign w:val="center"/>
          </w:tcPr>
          <w:p>
            <w:pPr>
              <w:spacing w:line="240" w:lineRule="exact"/>
              <w:rPr>
                <w:rFonts w:ascii="仿宋_GB2312" w:eastAsia="仿宋_GB2312"/>
                <w:sz w:val="22"/>
                <w:szCs w:val="24"/>
              </w:rPr>
            </w:pPr>
            <w:r>
              <w:rPr>
                <w:rFonts w:hint="eastAsia" w:ascii="仿宋_GB2312" w:eastAsia="仿宋_GB2312"/>
                <w:sz w:val="22"/>
                <w:szCs w:val="24"/>
              </w:rPr>
              <w:t>自治区公安厅经侦总队</w:t>
            </w:r>
          </w:p>
        </w:tc>
        <w:tc>
          <w:tcPr>
            <w:tcW w:w="1717" w:type="dxa"/>
            <w:vAlign w:val="center"/>
          </w:tcPr>
          <w:p>
            <w:pPr>
              <w:spacing w:line="520" w:lineRule="exact"/>
              <w:jc w:val="center"/>
              <w:rPr>
                <w:rFonts w:ascii="仿宋_GB2312" w:eastAsia="仿宋_GB2312"/>
                <w:sz w:val="22"/>
                <w:szCs w:val="30"/>
              </w:rPr>
            </w:pPr>
            <w:r>
              <w:rPr>
                <w:rFonts w:hint="eastAsia" w:ascii="仿宋_GB2312" w:eastAsia="仿宋_GB2312"/>
                <w:sz w:val="22"/>
                <w:szCs w:val="30"/>
              </w:rPr>
              <w:t>940</w:t>
            </w:r>
          </w:p>
        </w:tc>
        <w:tc>
          <w:tcPr>
            <w:tcW w:w="1718" w:type="dxa"/>
            <w:vAlign w:val="center"/>
          </w:tcPr>
          <w:p>
            <w:pPr>
              <w:spacing w:line="520" w:lineRule="exact"/>
              <w:jc w:val="center"/>
              <w:rPr>
                <w:rFonts w:ascii="仿宋_GB2312" w:eastAsia="仿宋_GB2312"/>
                <w:sz w:val="22"/>
                <w:szCs w:val="24"/>
              </w:rPr>
            </w:pPr>
            <w:r>
              <w:rPr>
                <w:rFonts w:hint="eastAsia" w:ascii="仿宋_GB2312" w:eastAsia="仿宋_GB2312"/>
                <w:sz w:val="22"/>
                <w:szCs w:val="24"/>
              </w:rPr>
              <w:t>628975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87" w:type="dxa"/>
            <w:vAlign w:val="center"/>
          </w:tcPr>
          <w:p>
            <w:pPr>
              <w:spacing w:line="520" w:lineRule="exact"/>
              <w:jc w:val="center"/>
              <w:rPr>
                <w:rFonts w:ascii="仿宋_GB2312" w:eastAsia="仿宋_GB2312"/>
                <w:sz w:val="22"/>
                <w:szCs w:val="24"/>
              </w:rPr>
            </w:pPr>
            <w:r>
              <w:rPr>
                <w:rFonts w:hint="eastAsia" w:ascii="仿宋_GB2312" w:eastAsia="仿宋_GB2312"/>
                <w:sz w:val="22"/>
                <w:szCs w:val="24"/>
              </w:rPr>
              <w:t>5</w:t>
            </w:r>
          </w:p>
        </w:tc>
        <w:tc>
          <w:tcPr>
            <w:tcW w:w="3741" w:type="dxa"/>
            <w:vAlign w:val="center"/>
          </w:tcPr>
          <w:p>
            <w:pPr>
              <w:spacing w:line="240" w:lineRule="exact"/>
              <w:rPr>
                <w:rFonts w:ascii="仿宋_GB2312" w:eastAsia="仿宋_GB2312"/>
                <w:sz w:val="22"/>
                <w:szCs w:val="24"/>
              </w:rPr>
            </w:pPr>
            <w:r>
              <w:rPr>
                <w:rFonts w:hint="eastAsia" w:ascii="仿宋_GB2312" w:eastAsia="仿宋_GB2312"/>
                <w:sz w:val="22"/>
                <w:szCs w:val="24"/>
              </w:rPr>
              <w:t>自治区乡村振兴局</w:t>
            </w:r>
          </w:p>
        </w:tc>
        <w:tc>
          <w:tcPr>
            <w:tcW w:w="1717" w:type="dxa"/>
            <w:vAlign w:val="center"/>
          </w:tcPr>
          <w:p>
            <w:pPr>
              <w:spacing w:line="520" w:lineRule="exact"/>
              <w:jc w:val="center"/>
              <w:rPr>
                <w:rFonts w:ascii="仿宋_GB2312" w:eastAsia="仿宋_GB2312"/>
                <w:sz w:val="22"/>
                <w:szCs w:val="30"/>
              </w:rPr>
            </w:pPr>
          </w:p>
        </w:tc>
        <w:tc>
          <w:tcPr>
            <w:tcW w:w="1718" w:type="dxa"/>
            <w:vAlign w:val="center"/>
          </w:tcPr>
          <w:p>
            <w:pPr>
              <w:spacing w:line="520" w:lineRule="exact"/>
              <w:jc w:val="center"/>
              <w:rPr>
                <w:rFonts w:ascii="仿宋_GB2312" w:eastAsia="仿宋_GB2312"/>
                <w:sz w:val="22"/>
                <w:szCs w:val="24"/>
              </w:rPr>
            </w:pPr>
            <w:r>
              <w:rPr>
                <w:rFonts w:hint="eastAsia" w:ascii="仿宋_GB2312" w:eastAsia="仿宋_GB2312"/>
                <w:sz w:val="22"/>
                <w:szCs w:val="30"/>
              </w:rPr>
              <w:t>384506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87" w:type="dxa"/>
            <w:vAlign w:val="center"/>
          </w:tcPr>
          <w:p>
            <w:pPr>
              <w:spacing w:line="520" w:lineRule="exact"/>
              <w:jc w:val="center"/>
              <w:rPr>
                <w:rFonts w:ascii="仿宋_GB2312" w:eastAsia="仿宋_GB2312"/>
                <w:sz w:val="22"/>
                <w:szCs w:val="24"/>
              </w:rPr>
            </w:pPr>
            <w:r>
              <w:rPr>
                <w:rFonts w:hint="eastAsia" w:ascii="仿宋_GB2312" w:eastAsia="仿宋_GB2312"/>
                <w:sz w:val="22"/>
                <w:szCs w:val="24"/>
              </w:rPr>
              <w:t>6</w:t>
            </w:r>
          </w:p>
        </w:tc>
        <w:tc>
          <w:tcPr>
            <w:tcW w:w="3741" w:type="dxa"/>
            <w:vAlign w:val="center"/>
          </w:tcPr>
          <w:p>
            <w:pPr>
              <w:spacing w:line="240" w:lineRule="exact"/>
              <w:rPr>
                <w:rFonts w:ascii="仿宋_GB2312" w:eastAsia="仿宋_GB2312"/>
                <w:sz w:val="22"/>
                <w:szCs w:val="24"/>
              </w:rPr>
            </w:pPr>
            <w:r>
              <w:rPr>
                <w:rFonts w:hint="eastAsia" w:ascii="仿宋_GB2312" w:eastAsia="仿宋_GB2312"/>
                <w:sz w:val="22"/>
                <w:szCs w:val="24"/>
              </w:rPr>
              <w:t>自治区保健局</w:t>
            </w:r>
          </w:p>
        </w:tc>
        <w:tc>
          <w:tcPr>
            <w:tcW w:w="1717" w:type="dxa"/>
            <w:vAlign w:val="center"/>
          </w:tcPr>
          <w:p>
            <w:pPr>
              <w:spacing w:line="520" w:lineRule="exact"/>
              <w:jc w:val="center"/>
              <w:rPr>
                <w:rFonts w:ascii="仿宋_GB2312" w:eastAsia="仿宋_GB2312"/>
                <w:sz w:val="22"/>
                <w:szCs w:val="24"/>
              </w:rPr>
            </w:pPr>
          </w:p>
        </w:tc>
        <w:tc>
          <w:tcPr>
            <w:tcW w:w="1718" w:type="dxa"/>
            <w:vAlign w:val="center"/>
          </w:tcPr>
          <w:p>
            <w:pPr>
              <w:spacing w:line="520" w:lineRule="exact"/>
              <w:jc w:val="center"/>
              <w:rPr>
                <w:rFonts w:ascii="仿宋_GB2312" w:eastAsia="仿宋_GB2312"/>
                <w:sz w:val="22"/>
                <w:szCs w:val="24"/>
              </w:rPr>
            </w:pPr>
            <w:r>
              <w:rPr>
                <w:rFonts w:hint="eastAsia" w:ascii="仿宋_GB2312" w:eastAsia="仿宋_GB2312"/>
                <w:sz w:val="22"/>
                <w:szCs w:val="30"/>
              </w:rPr>
              <w:t>2833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87" w:type="dxa"/>
            <w:vAlign w:val="center"/>
          </w:tcPr>
          <w:p>
            <w:pPr>
              <w:spacing w:line="520" w:lineRule="exact"/>
              <w:jc w:val="center"/>
              <w:rPr>
                <w:rFonts w:ascii="仿宋_GB2312" w:eastAsia="仿宋_GB2312"/>
                <w:sz w:val="22"/>
                <w:szCs w:val="24"/>
              </w:rPr>
            </w:pPr>
            <w:r>
              <w:rPr>
                <w:rFonts w:hint="eastAsia" w:ascii="仿宋_GB2312" w:eastAsia="仿宋_GB2312"/>
                <w:sz w:val="22"/>
                <w:szCs w:val="24"/>
              </w:rPr>
              <w:t>7</w:t>
            </w:r>
          </w:p>
        </w:tc>
        <w:tc>
          <w:tcPr>
            <w:tcW w:w="3741" w:type="dxa"/>
            <w:vAlign w:val="center"/>
          </w:tcPr>
          <w:p>
            <w:pPr>
              <w:spacing w:line="240" w:lineRule="exact"/>
              <w:rPr>
                <w:rFonts w:ascii="仿宋_GB2312" w:eastAsia="仿宋_GB2312"/>
                <w:sz w:val="22"/>
                <w:szCs w:val="24"/>
              </w:rPr>
            </w:pPr>
            <w:r>
              <w:rPr>
                <w:rFonts w:hint="eastAsia" w:ascii="仿宋_GB2312" w:eastAsia="仿宋_GB2312"/>
                <w:sz w:val="22"/>
                <w:szCs w:val="24"/>
              </w:rPr>
              <w:t>自治区残联</w:t>
            </w:r>
          </w:p>
        </w:tc>
        <w:tc>
          <w:tcPr>
            <w:tcW w:w="1717" w:type="dxa"/>
            <w:vAlign w:val="center"/>
          </w:tcPr>
          <w:p>
            <w:pPr>
              <w:spacing w:line="520" w:lineRule="exact"/>
              <w:jc w:val="center"/>
              <w:rPr>
                <w:rFonts w:ascii="仿宋_GB2312" w:eastAsia="仿宋_GB2312"/>
                <w:sz w:val="22"/>
                <w:szCs w:val="24"/>
              </w:rPr>
            </w:pPr>
          </w:p>
        </w:tc>
        <w:tc>
          <w:tcPr>
            <w:tcW w:w="1718" w:type="dxa"/>
            <w:vAlign w:val="center"/>
          </w:tcPr>
          <w:p>
            <w:pPr>
              <w:spacing w:line="520" w:lineRule="exact"/>
              <w:jc w:val="center"/>
              <w:rPr>
                <w:rFonts w:ascii="仿宋_GB2312" w:eastAsia="仿宋_GB2312"/>
                <w:sz w:val="22"/>
                <w:szCs w:val="24"/>
              </w:rPr>
            </w:pPr>
            <w:r>
              <w:rPr>
                <w:rFonts w:hint="eastAsia" w:ascii="仿宋_GB2312" w:eastAsia="仿宋_GB2312"/>
                <w:sz w:val="22"/>
                <w:szCs w:val="30"/>
              </w:rPr>
              <w:t>229339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87" w:type="dxa"/>
            <w:vAlign w:val="center"/>
          </w:tcPr>
          <w:p>
            <w:pPr>
              <w:spacing w:line="520" w:lineRule="exact"/>
              <w:jc w:val="center"/>
              <w:rPr>
                <w:rFonts w:ascii="仿宋_GB2312" w:eastAsia="仿宋_GB2312"/>
                <w:sz w:val="22"/>
                <w:szCs w:val="24"/>
              </w:rPr>
            </w:pPr>
            <w:r>
              <w:rPr>
                <w:rFonts w:hint="eastAsia" w:ascii="仿宋_GB2312" w:eastAsia="仿宋_GB2312"/>
                <w:sz w:val="22"/>
                <w:szCs w:val="24"/>
              </w:rPr>
              <w:t>8</w:t>
            </w:r>
          </w:p>
        </w:tc>
        <w:tc>
          <w:tcPr>
            <w:tcW w:w="3741" w:type="dxa"/>
            <w:vAlign w:val="center"/>
          </w:tcPr>
          <w:p>
            <w:pPr>
              <w:spacing w:line="240" w:lineRule="exact"/>
              <w:rPr>
                <w:rFonts w:ascii="仿宋_GB2312" w:eastAsia="仿宋_GB2312"/>
                <w:sz w:val="22"/>
                <w:szCs w:val="24"/>
              </w:rPr>
            </w:pPr>
            <w:r>
              <w:rPr>
                <w:rFonts w:hint="eastAsia" w:ascii="仿宋_GB2312" w:eastAsia="仿宋_GB2312"/>
                <w:sz w:val="22"/>
                <w:szCs w:val="24"/>
              </w:rPr>
              <w:t>自治区退役军人事务厅</w:t>
            </w:r>
          </w:p>
        </w:tc>
        <w:tc>
          <w:tcPr>
            <w:tcW w:w="1717" w:type="dxa"/>
            <w:vAlign w:val="center"/>
          </w:tcPr>
          <w:p>
            <w:pPr>
              <w:spacing w:line="520" w:lineRule="exact"/>
              <w:jc w:val="center"/>
              <w:rPr>
                <w:rFonts w:ascii="仿宋_GB2312" w:eastAsia="仿宋_GB2312"/>
                <w:sz w:val="22"/>
                <w:szCs w:val="24"/>
              </w:rPr>
            </w:pPr>
          </w:p>
        </w:tc>
        <w:tc>
          <w:tcPr>
            <w:tcW w:w="1718" w:type="dxa"/>
            <w:vAlign w:val="center"/>
          </w:tcPr>
          <w:p>
            <w:pPr>
              <w:spacing w:line="520" w:lineRule="exact"/>
              <w:jc w:val="center"/>
              <w:rPr>
                <w:rFonts w:ascii="仿宋_GB2312" w:eastAsia="仿宋_GB2312"/>
                <w:sz w:val="22"/>
                <w:szCs w:val="24"/>
              </w:rPr>
            </w:pPr>
            <w:r>
              <w:rPr>
                <w:rFonts w:hint="eastAsia" w:ascii="仿宋_GB2312" w:eastAsia="仿宋_GB2312"/>
                <w:sz w:val="22"/>
                <w:szCs w:val="30"/>
              </w:rPr>
              <w:t>17108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87" w:type="dxa"/>
            <w:vAlign w:val="center"/>
          </w:tcPr>
          <w:p>
            <w:pPr>
              <w:spacing w:line="520" w:lineRule="exact"/>
              <w:jc w:val="center"/>
              <w:rPr>
                <w:rFonts w:ascii="仿宋_GB2312" w:eastAsia="仿宋_GB2312"/>
                <w:sz w:val="22"/>
                <w:szCs w:val="24"/>
              </w:rPr>
            </w:pPr>
            <w:r>
              <w:rPr>
                <w:rFonts w:hint="eastAsia" w:ascii="仿宋_GB2312" w:eastAsia="仿宋_GB2312"/>
                <w:sz w:val="22"/>
                <w:szCs w:val="24"/>
              </w:rPr>
              <w:t>9</w:t>
            </w:r>
          </w:p>
        </w:tc>
        <w:tc>
          <w:tcPr>
            <w:tcW w:w="3741" w:type="dxa"/>
            <w:vAlign w:val="center"/>
          </w:tcPr>
          <w:p>
            <w:pPr>
              <w:spacing w:line="240" w:lineRule="exact"/>
              <w:rPr>
                <w:rFonts w:ascii="仿宋_GB2312" w:eastAsia="仿宋_GB2312"/>
                <w:sz w:val="22"/>
                <w:szCs w:val="24"/>
              </w:rPr>
            </w:pPr>
            <w:r>
              <w:rPr>
                <w:rFonts w:hint="eastAsia" w:ascii="仿宋_GB2312" w:eastAsia="仿宋_GB2312"/>
                <w:sz w:val="22"/>
                <w:szCs w:val="24"/>
              </w:rPr>
              <w:t>自治区证监局</w:t>
            </w:r>
          </w:p>
        </w:tc>
        <w:tc>
          <w:tcPr>
            <w:tcW w:w="1717" w:type="dxa"/>
            <w:vAlign w:val="center"/>
          </w:tcPr>
          <w:p>
            <w:pPr>
              <w:spacing w:line="520" w:lineRule="exact"/>
              <w:jc w:val="center"/>
              <w:rPr>
                <w:rFonts w:ascii="仿宋_GB2312" w:eastAsia="仿宋_GB2312"/>
                <w:sz w:val="22"/>
                <w:szCs w:val="24"/>
              </w:rPr>
            </w:pPr>
            <w:r>
              <w:rPr>
                <w:rFonts w:hint="eastAsia" w:ascii="仿宋_GB2312" w:eastAsia="仿宋_GB2312"/>
                <w:sz w:val="22"/>
                <w:szCs w:val="24"/>
              </w:rPr>
              <w:t>54</w:t>
            </w:r>
          </w:p>
        </w:tc>
        <w:tc>
          <w:tcPr>
            <w:tcW w:w="1718" w:type="dxa"/>
            <w:vAlign w:val="center"/>
          </w:tcPr>
          <w:p>
            <w:pPr>
              <w:spacing w:line="520" w:lineRule="exact"/>
              <w:jc w:val="center"/>
              <w:rPr>
                <w:rFonts w:ascii="仿宋_GB2312" w:eastAsia="仿宋_GB2312"/>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87" w:type="dxa"/>
            <w:vAlign w:val="center"/>
          </w:tcPr>
          <w:p>
            <w:pPr>
              <w:spacing w:line="520" w:lineRule="exact"/>
              <w:jc w:val="center"/>
              <w:rPr>
                <w:rFonts w:ascii="仿宋_GB2312" w:eastAsia="仿宋_GB2312"/>
                <w:sz w:val="22"/>
                <w:szCs w:val="24"/>
              </w:rPr>
            </w:pPr>
            <w:r>
              <w:rPr>
                <w:rFonts w:hint="eastAsia" w:ascii="仿宋_GB2312" w:eastAsia="仿宋_GB2312"/>
                <w:sz w:val="22"/>
                <w:szCs w:val="24"/>
              </w:rPr>
              <w:t>10</w:t>
            </w:r>
          </w:p>
        </w:tc>
        <w:tc>
          <w:tcPr>
            <w:tcW w:w="3741" w:type="dxa"/>
            <w:vAlign w:val="center"/>
          </w:tcPr>
          <w:p>
            <w:pPr>
              <w:spacing w:line="240" w:lineRule="exact"/>
              <w:rPr>
                <w:rFonts w:ascii="仿宋_GB2312" w:eastAsia="仿宋_GB2312"/>
                <w:sz w:val="22"/>
                <w:szCs w:val="24"/>
              </w:rPr>
            </w:pPr>
            <w:r>
              <w:rPr>
                <w:rFonts w:hint="eastAsia" w:ascii="仿宋_GB2312" w:eastAsia="仿宋_GB2312"/>
                <w:sz w:val="22"/>
                <w:szCs w:val="24"/>
              </w:rPr>
              <w:t>自治区环保厅</w:t>
            </w:r>
          </w:p>
        </w:tc>
        <w:tc>
          <w:tcPr>
            <w:tcW w:w="1717" w:type="dxa"/>
            <w:vAlign w:val="center"/>
          </w:tcPr>
          <w:p>
            <w:pPr>
              <w:spacing w:line="520" w:lineRule="exact"/>
              <w:jc w:val="center"/>
              <w:rPr>
                <w:rFonts w:ascii="仿宋_GB2312" w:eastAsia="仿宋_GB2312"/>
                <w:sz w:val="22"/>
                <w:szCs w:val="24"/>
              </w:rPr>
            </w:pPr>
          </w:p>
        </w:tc>
        <w:tc>
          <w:tcPr>
            <w:tcW w:w="1718" w:type="dxa"/>
            <w:vAlign w:val="center"/>
          </w:tcPr>
          <w:p>
            <w:pPr>
              <w:spacing w:line="520" w:lineRule="exact"/>
              <w:jc w:val="center"/>
              <w:rPr>
                <w:rFonts w:ascii="仿宋_GB2312" w:eastAsia="仿宋_GB2312"/>
                <w:sz w:val="22"/>
                <w:szCs w:val="24"/>
              </w:rPr>
            </w:pPr>
            <w:r>
              <w:rPr>
                <w:rFonts w:hint="eastAsia" w:ascii="仿宋_GB2312" w:eastAsia="仿宋_GB2312"/>
                <w:sz w:val="22"/>
                <w:szCs w:val="24"/>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87" w:type="dxa"/>
            <w:vAlign w:val="center"/>
          </w:tcPr>
          <w:p>
            <w:pPr>
              <w:spacing w:line="520" w:lineRule="exact"/>
              <w:jc w:val="center"/>
              <w:rPr>
                <w:rFonts w:ascii="仿宋_GB2312" w:eastAsia="仿宋_GB2312"/>
                <w:sz w:val="22"/>
                <w:szCs w:val="24"/>
              </w:rPr>
            </w:pPr>
            <w:r>
              <w:rPr>
                <w:rFonts w:hint="eastAsia" w:ascii="仿宋_GB2312" w:eastAsia="仿宋_GB2312"/>
                <w:sz w:val="22"/>
                <w:szCs w:val="24"/>
              </w:rPr>
              <w:t>11</w:t>
            </w:r>
          </w:p>
        </w:tc>
        <w:tc>
          <w:tcPr>
            <w:tcW w:w="3741" w:type="dxa"/>
            <w:vAlign w:val="center"/>
          </w:tcPr>
          <w:p>
            <w:pPr>
              <w:spacing w:line="240" w:lineRule="exact"/>
              <w:rPr>
                <w:rFonts w:ascii="仿宋_GB2312" w:eastAsia="仿宋_GB2312"/>
                <w:sz w:val="22"/>
                <w:szCs w:val="24"/>
              </w:rPr>
            </w:pPr>
            <w:r>
              <w:rPr>
                <w:rFonts w:hint="eastAsia" w:ascii="仿宋_GB2312" w:eastAsia="仿宋_GB2312"/>
                <w:sz w:val="22"/>
                <w:szCs w:val="24"/>
              </w:rPr>
              <w:t>银川市社保中心</w:t>
            </w:r>
          </w:p>
        </w:tc>
        <w:tc>
          <w:tcPr>
            <w:tcW w:w="1717" w:type="dxa"/>
            <w:vAlign w:val="center"/>
          </w:tcPr>
          <w:p>
            <w:pPr>
              <w:spacing w:line="520" w:lineRule="exact"/>
              <w:jc w:val="center"/>
              <w:rPr>
                <w:rFonts w:ascii="仿宋_GB2312" w:eastAsia="仿宋_GB2312"/>
                <w:sz w:val="22"/>
                <w:szCs w:val="24"/>
              </w:rPr>
            </w:pPr>
          </w:p>
        </w:tc>
        <w:tc>
          <w:tcPr>
            <w:tcW w:w="1718" w:type="dxa"/>
            <w:vAlign w:val="center"/>
          </w:tcPr>
          <w:p>
            <w:pPr>
              <w:spacing w:line="520" w:lineRule="exact"/>
              <w:jc w:val="center"/>
              <w:rPr>
                <w:rFonts w:ascii="仿宋_GB2312" w:eastAsia="仿宋_GB2312"/>
                <w:sz w:val="22"/>
                <w:szCs w:val="30"/>
              </w:rPr>
            </w:pPr>
            <w:r>
              <w:rPr>
                <w:rFonts w:hint="eastAsia" w:ascii="仿宋_GB2312" w:eastAsia="仿宋_GB2312"/>
                <w:sz w:val="22"/>
                <w:szCs w:val="30"/>
              </w:rPr>
              <w:t>52793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87" w:type="dxa"/>
            <w:vAlign w:val="center"/>
          </w:tcPr>
          <w:p>
            <w:pPr>
              <w:spacing w:line="520" w:lineRule="exact"/>
              <w:jc w:val="center"/>
              <w:rPr>
                <w:rFonts w:ascii="仿宋_GB2312" w:eastAsia="仿宋_GB2312"/>
                <w:sz w:val="22"/>
                <w:szCs w:val="24"/>
              </w:rPr>
            </w:pPr>
            <w:r>
              <w:rPr>
                <w:rFonts w:hint="eastAsia" w:ascii="仿宋_GB2312" w:eastAsia="仿宋_GB2312"/>
                <w:sz w:val="22"/>
                <w:szCs w:val="24"/>
              </w:rPr>
              <w:t>12</w:t>
            </w:r>
          </w:p>
        </w:tc>
        <w:tc>
          <w:tcPr>
            <w:tcW w:w="3741" w:type="dxa"/>
            <w:vAlign w:val="center"/>
          </w:tcPr>
          <w:p>
            <w:pPr>
              <w:spacing w:line="240" w:lineRule="exact"/>
              <w:rPr>
                <w:rFonts w:ascii="仿宋_GB2312" w:eastAsia="仿宋_GB2312"/>
                <w:sz w:val="22"/>
                <w:szCs w:val="24"/>
              </w:rPr>
            </w:pPr>
            <w:r>
              <w:rPr>
                <w:rFonts w:hint="eastAsia" w:ascii="仿宋_GB2312" w:eastAsia="仿宋_GB2312"/>
                <w:sz w:val="22"/>
                <w:szCs w:val="24"/>
              </w:rPr>
              <w:t>银川市就业局</w:t>
            </w:r>
          </w:p>
        </w:tc>
        <w:tc>
          <w:tcPr>
            <w:tcW w:w="1717" w:type="dxa"/>
            <w:vAlign w:val="center"/>
          </w:tcPr>
          <w:p>
            <w:pPr>
              <w:spacing w:line="520" w:lineRule="exact"/>
              <w:jc w:val="center"/>
              <w:rPr>
                <w:rFonts w:ascii="仿宋_GB2312" w:eastAsia="仿宋_GB2312"/>
                <w:sz w:val="22"/>
                <w:szCs w:val="24"/>
              </w:rPr>
            </w:pPr>
          </w:p>
        </w:tc>
        <w:tc>
          <w:tcPr>
            <w:tcW w:w="1718" w:type="dxa"/>
            <w:vAlign w:val="center"/>
          </w:tcPr>
          <w:p>
            <w:pPr>
              <w:spacing w:line="520" w:lineRule="exact"/>
              <w:jc w:val="center"/>
              <w:rPr>
                <w:rFonts w:ascii="仿宋_GB2312" w:eastAsia="仿宋_GB2312"/>
                <w:sz w:val="22"/>
                <w:szCs w:val="30"/>
              </w:rPr>
            </w:pPr>
            <w:r>
              <w:rPr>
                <w:rFonts w:hint="eastAsia" w:ascii="仿宋_GB2312" w:eastAsia="仿宋_GB2312"/>
                <w:sz w:val="22"/>
                <w:szCs w:val="30"/>
              </w:rPr>
              <w:t>27036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87" w:type="dxa"/>
            <w:vAlign w:val="center"/>
          </w:tcPr>
          <w:p>
            <w:pPr>
              <w:spacing w:line="520" w:lineRule="exact"/>
              <w:jc w:val="center"/>
              <w:rPr>
                <w:rFonts w:ascii="仿宋_GB2312" w:eastAsia="仿宋_GB2312"/>
                <w:sz w:val="22"/>
                <w:szCs w:val="24"/>
              </w:rPr>
            </w:pPr>
            <w:r>
              <w:rPr>
                <w:rFonts w:hint="eastAsia" w:ascii="仿宋_GB2312" w:eastAsia="仿宋_GB2312"/>
                <w:sz w:val="22"/>
                <w:szCs w:val="24"/>
              </w:rPr>
              <w:t>13</w:t>
            </w:r>
          </w:p>
        </w:tc>
        <w:tc>
          <w:tcPr>
            <w:tcW w:w="3741" w:type="dxa"/>
            <w:vAlign w:val="center"/>
          </w:tcPr>
          <w:p>
            <w:pPr>
              <w:spacing w:line="240" w:lineRule="exact"/>
              <w:rPr>
                <w:rFonts w:ascii="仿宋_GB2312" w:eastAsia="仿宋_GB2312"/>
                <w:sz w:val="22"/>
                <w:szCs w:val="24"/>
              </w:rPr>
            </w:pPr>
            <w:r>
              <w:rPr>
                <w:rFonts w:hint="eastAsia" w:ascii="仿宋_GB2312" w:eastAsia="仿宋_GB2312"/>
                <w:sz w:val="22"/>
                <w:szCs w:val="24"/>
              </w:rPr>
              <w:t>银川市行政审批局</w:t>
            </w:r>
          </w:p>
        </w:tc>
        <w:tc>
          <w:tcPr>
            <w:tcW w:w="1717" w:type="dxa"/>
            <w:vAlign w:val="center"/>
          </w:tcPr>
          <w:p>
            <w:pPr>
              <w:spacing w:line="520" w:lineRule="exact"/>
              <w:jc w:val="center"/>
              <w:rPr>
                <w:rFonts w:ascii="仿宋_GB2312" w:eastAsia="仿宋_GB2312"/>
                <w:sz w:val="22"/>
                <w:szCs w:val="24"/>
              </w:rPr>
            </w:pPr>
          </w:p>
        </w:tc>
        <w:tc>
          <w:tcPr>
            <w:tcW w:w="1718" w:type="dxa"/>
            <w:vAlign w:val="center"/>
          </w:tcPr>
          <w:p>
            <w:pPr>
              <w:spacing w:line="520" w:lineRule="exact"/>
              <w:jc w:val="center"/>
              <w:rPr>
                <w:rFonts w:ascii="仿宋_GB2312" w:eastAsia="仿宋_GB2312"/>
                <w:sz w:val="22"/>
                <w:szCs w:val="30"/>
              </w:rPr>
            </w:pPr>
            <w:r>
              <w:rPr>
                <w:rFonts w:hint="eastAsia" w:ascii="仿宋_GB2312" w:eastAsia="仿宋_GB2312"/>
                <w:sz w:val="22"/>
                <w:szCs w:val="30"/>
              </w:rPr>
              <w:t>6214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87" w:type="dxa"/>
            <w:vAlign w:val="center"/>
          </w:tcPr>
          <w:p>
            <w:pPr>
              <w:spacing w:line="520" w:lineRule="exact"/>
              <w:jc w:val="center"/>
              <w:rPr>
                <w:rFonts w:ascii="仿宋_GB2312" w:eastAsia="仿宋_GB2312"/>
                <w:sz w:val="22"/>
                <w:szCs w:val="24"/>
              </w:rPr>
            </w:pPr>
            <w:r>
              <w:rPr>
                <w:rFonts w:hint="eastAsia" w:ascii="仿宋_GB2312" w:eastAsia="仿宋_GB2312"/>
                <w:sz w:val="22"/>
                <w:szCs w:val="24"/>
              </w:rPr>
              <w:t>14</w:t>
            </w:r>
          </w:p>
        </w:tc>
        <w:tc>
          <w:tcPr>
            <w:tcW w:w="3741" w:type="dxa"/>
            <w:vAlign w:val="center"/>
          </w:tcPr>
          <w:p>
            <w:pPr>
              <w:spacing w:line="240" w:lineRule="exact"/>
              <w:rPr>
                <w:rFonts w:ascii="仿宋_GB2312" w:eastAsia="仿宋_GB2312"/>
                <w:sz w:val="22"/>
                <w:szCs w:val="24"/>
              </w:rPr>
            </w:pPr>
            <w:r>
              <w:rPr>
                <w:rFonts w:hint="eastAsia" w:ascii="仿宋_GB2312" w:eastAsia="仿宋_GB2312"/>
                <w:sz w:val="22"/>
                <w:szCs w:val="24"/>
              </w:rPr>
              <w:t>银川市住房资金中心</w:t>
            </w:r>
          </w:p>
        </w:tc>
        <w:tc>
          <w:tcPr>
            <w:tcW w:w="1717" w:type="dxa"/>
            <w:vAlign w:val="center"/>
          </w:tcPr>
          <w:p>
            <w:pPr>
              <w:spacing w:line="520" w:lineRule="exact"/>
              <w:jc w:val="center"/>
              <w:rPr>
                <w:rFonts w:ascii="仿宋_GB2312" w:eastAsia="仿宋_GB2312"/>
                <w:sz w:val="22"/>
                <w:szCs w:val="24"/>
              </w:rPr>
            </w:pPr>
          </w:p>
        </w:tc>
        <w:tc>
          <w:tcPr>
            <w:tcW w:w="1718" w:type="dxa"/>
            <w:vAlign w:val="center"/>
          </w:tcPr>
          <w:p>
            <w:pPr>
              <w:spacing w:line="520" w:lineRule="exact"/>
              <w:jc w:val="center"/>
              <w:rPr>
                <w:rFonts w:ascii="仿宋_GB2312" w:eastAsia="仿宋_GB2312"/>
                <w:sz w:val="22"/>
                <w:szCs w:val="30"/>
              </w:rPr>
            </w:pPr>
            <w:r>
              <w:rPr>
                <w:rFonts w:hint="eastAsia" w:ascii="仿宋_GB2312" w:eastAsia="仿宋_GB2312"/>
                <w:sz w:val="22"/>
                <w:szCs w:val="30"/>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87" w:type="dxa"/>
            <w:vAlign w:val="center"/>
          </w:tcPr>
          <w:p>
            <w:pPr>
              <w:spacing w:line="520" w:lineRule="exact"/>
              <w:jc w:val="center"/>
              <w:rPr>
                <w:rFonts w:ascii="仿宋_GB2312" w:eastAsia="仿宋_GB2312"/>
                <w:sz w:val="22"/>
                <w:szCs w:val="24"/>
              </w:rPr>
            </w:pPr>
            <w:r>
              <w:rPr>
                <w:rFonts w:hint="eastAsia" w:ascii="仿宋_GB2312" w:eastAsia="仿宋_GB2312"/>
                <w:sz w:val="22"/>
                <w:szCs w:val="24"/>
              </w:rPr>
              <w:t>15</w:t>
            </w:r>
          </w:p>
        </w:tc>
        <w:tc>
          <w:tcPr>
            <w:tcW w:w="3741" w:type="dxa"/>
            <w:vAlign w:val="center"/>
          </w:tcPr>
          <w:p>
            <w:pPr>
              <w:spacing w:line="240" w:lineRule="exact"/>
              <w:rPr>
                <w:rFonts w:ascii="仿宋_GB2312" w:eastAsia="仿宋_GB2312"/>
                <w:sz w:val="22"/>
                <w:szCs w:val="24"/>
              </w:rPr>
            </w:pPr>
            <w:r>
              <w:rPr>
                <w:rFonts w:hint="eastAsia" w:ascii="仿宋_GB2312" w:eastAsia="仿宋_GB2312"/>
                <w:sz w:val="22"/>
                <w:szCs w:val="24"/>
              </w:rPr>
              <w:t>银川市金凤区社保中心</w:t>
            </w:r>
          </w:p>
        </w:tc>
        <w:tc>
          <w:tcPr>
            <w:tcW w:w="1717" w:type="dxa"/>
            <w:vAlign w:val="center"/>
          </w:tcPr>
          <w:p>
            <w:pPr>
              <w:spacing w:line="520" w:lineRule="exact"/>
              <w:jc w:val="center"/>
              <w:rPr>
                <w:rFonts w:ascii="仿宋_GB2312" w:eastAsia="仿宋_GB2312"/>
                <w:sz w:val="22"/>
                <w:szCs w:val="24"/>
              </w:rPr>
            </w:pPr>
          </w:p>
        </w:tc>
        <w:tc>
          <w:tcPr>
            <w:tcW w:w="1718" w:type="dxa"/>
            <w:vAlign w:val="center"/>
          </w:tcPr>
          <w:p>
            <w:pPr>
              <w:spacing w:line="520" w:lineRule="exact"/>
              <w:jc w:val="center"/>
              <w:rPr>
                <w:rFonts w:ascii="仿宋_GB2312" w:eastAsia="仿宋_GB2312"/>
                <w:sz w:val="22"/>
                <w:szCs w:val="30"/>
              </w:rPr>
            </w:pPr>
            <w:r>
              <w:rPr>
                <w:rFonts w:hint="eastAsia" w:ascii="仿宋_GB2312" w:eastAsia="仿宋_GB2312"/>
                <w:sz w:val="22"/>
                <w:szCs w:val="30"/>
              </w:rPr>
              <w:t>35165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87" w:type="dxa"/>
            <w:vAlign w:val="center"/>
          </w:tcPr>
          <w:p>
            <w:pPr>
              <w:spacing w:line="520" w:lineRule="exact"/>
              <w:jc w:val="center"/>
              <w:rPr>
                <w:rFonts w:ascii="仿宋_GB2312" w:eastAsia="仿宋_GB2312"/>
                <w:sz w:val="22"/>
                <w:szCs w:val="24"/>
              </w:rPr>
            </w:pPr>
            <w:r>
              <w:rPr>
                <w:rFonts w:hint="eastAsia" w:ascii="仿宋_GB2312" w:eastAsia="仿宋_GB2312"/>
                <w:sz w:val="22"/>
                <w:szCs w:val="24"/>
              </w:rPr>
              <w:t>16</w:t>
            </w:r>
          </w:p>
        </w:tc>
        <w:tc>
          <w:tcPr>
            <w:tcW w:w="3741" w:type="dxa"/>
            <w:vAlign w:val="center"/>
          </w:tcPr>
          <w:p>
            <w:pPr>
              <w:spacing w:line="240" w:lineRule="exact"/>
              <w:rPr>
                <w:rFonts w:ascii="仿宋_GB2312" w:eastAsia="仿宋_GB2312"/>
                <w:sz w:val="22"/>
                <w:szCs w:val="24"/>
              </w:rPr>
            </w:pPr>
            <w:r>
              <w:rPr>
                <w:rFonts w:hint="eastAsia" w:ascii="仿宋_GB2312" w:eastAsia="仿宋_GB2312"/>
                <w:sz w:val="22"/>
                <w:szCs w:val="24"/>
              </w:rPr>
              <w:t>银川市永宁社保中心</w:t>
            </w:r>
          </w:p>
        </w:tc>
        <w:tc>
          <w:tcPr>
            <w:tcW w:w="1717" w:type="dxa"/>
            <w:vAlign w:val="center"/>
          </w:tcPr>
          <w:p>
            <w:pPr>
              <w:spacing w:line="520" w:lineRule="exact"/>
              <w:jc w:val="center"/>
              <w:rPr>
                <w:rFonts w:ascii="仿宋_GB2312" w:eastAsia="仿宋_GB2312"/>
                <w:sz w:val="22"/>
                <w:szCs w:val="24"/>
              </w:rPr>
            </w:pPr>
          </w:p>
        </w:tc>
        <w:tc>
          <w:tcPr>
            <w:tcW w:w="1718" w:type="dxa"/>
            <w:vAlign w:val="center"/>
          </w:tcPr>
          <w:p>
            <w:pPr>
              <w:spacing w:line="520" w:lineRule="exact"/>
              <w:jc w:val="center"/>
              <w:rPr>
                <w:rFonts w:ascii="仿宋_GB2312" w:eastAsia="仿宋_GB2312"/>
                <w:sz w:val="22"/>
                <w:szCs w:val="30"/>
              </w:rPr>
            </w:pPr>
            <w:r>
              <w:rPr>
                <w:rFonts w:hint="eastAsia" w:ascii="仿宋_GB2312" w:eastAsia="仿宋_GB2312"/>
                <w:sz w:val="22"/>
                <w:szCs w:val="30"/>
              </w:rPr>
              <w:t>249924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87" w:type="dxa"/>
            <w:vAlign w:val="center"/>
          </w:tcPr>
          <w:p>
            <w:pPr>
              <w:spacing w:line="520" w:lineRule="exact"/>
              <w:jc w:val="center"/>
              <w:rPr>
                <w:rFonts w:ascii="仿宋_GB2312" w:eastAsia="仿宋_GB2312"/>
                <w:sz w:val="22"/>
                <w:szCs w:val="24"/>
              </w:rPr>
            </w:pPr>
            <w:r>
              <w:rPr>
                <w:rFonts w:hint="eastAsia" w:ascii="仿宋_GB2312" w:eastAsia="仿宋_GB2312"/>
                <w:sz w:val="22"/>
                <w:szCs w:val="24"/>
              </w:rPr>
              <w:t>17</w:t>
            </w:r>
          </w:p>
        </w:tc>
        <w:tc>
          <w:tcPr>
            <w:tcW w:w="3741" w:type="dxa"/>
            <w:vAlign w:val="center"/>
          </w:tcPr>
          <w:p>
            <w:pPr>
              <w:spacing w:line="240" w:lineRule="exact"/>
              <w:rPr>
                <w:rFonts w:ascii="仿宋_GB2312" w:eastAsia="仿宋_GB2312"/>
                <w:sz w:val="22"/>
                <w:szCs w:val="24"/>
              </w:rPr>
            </w:pPr>
            <w:r>
              <w:rPr>
                <w:rFonts w:hint="eastAsia" w:ascii="仿宋_GB2312" w:eastAsia="仿宋_GB2312"/>
                <w:sz w:val="22"/>
                <w:szCs w:val="24"/>
              </w:rPr>
              <w:t>中卫市社保中心</w:t>
            </w:r>
          </w:p>
        </w:tc>
        <w:tc>
          <w:tcPr>
            <w:tcW w:w="1717" w:type="dxa"/>
            <w:vAlign w:val="center"/>
          </w:tcPr>
          <w:p>
            <w:pPr>
              <w:spacing w:line="520" w:lineRule="exact"/>
              <w:jc w:val="center"/>
              <w:rPr>
                <w:rFonts w:ascii="仿宋_GB2312" w:eastAsia="仿宋_GB2312"/>
                <w:sz w:val="22"/>
                <w:szCs w:val="24"/>
              </w:rPr>
            </w:pPr>
          </w:p>
        </w:tc>
        <w:tc>
          <w:tcPr>
            <w:tcW w:w="1718" w:type="dxa"/>
            <w:vAlign w:val="center"/>
          </w:tcPr>
          <w:p>
            <w:pPr>
              <w:spacing w:line="520" w:lineRule="exact"/>
              <w:jc w:val="center"/>
              <w:rPr>
                <w:rFonts w:ascii="仿宋_GB2312" w:eastAsia="仿宋_GB2312"/>
                <w:sz w:val="22"/>
                <w:szCs w:val="30"/>
              </w:rPr>
            </w:pPr>
            <w:r>
              <w:rPr>
                <w:rFonts w:hint="eastAsia" w:ascii="仿宋_GB2312" w:eastAsia="仿宋_GB2312"/>
                <w:sz w:val="22"/>
                <w:szCs w:val="30"/>
              </w:rPr>
              <w:t>12022828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87" w:type="dxa"/>
            <w:vAlign w:val="center"/>
          </w:tcPr>
          <w:p>
            <w:pPr>
              <w:spacing w:line="520" w:lineRule="exact"/>
              <w:jc w:val="center"/>
              <w:rPr>
                <w:rFonts w:ascii="仿宋_GB2312" w:eastAsia="仿宋_GB2312"/>
                <w:sz w:val="22"/>
                <w:szCs w:val="24"/>
              </w:rPr>
            </w:pPr>
            <w:r>
              <w:rPr>
                <w:rFonts w:hint="eastAsia" w:ascii="仿宋_GB2312" w:eastAsia="仿宋_GB2312"/>
                <w:sz w:val="22"/>
                <w:szCs w:val="24"/>
              </w:rPr>
              <w:t>18</w:t>
            </w:r>
          </w:p>
        </w:tc>
        <w:tc>
          <w:tcPr>
            <w:tcW w:w="3741" w:type="dxa"/>
            <w:vAlign w:val="center"/>
          </w:tcPr>
          <w:p>
            <w:pPr>
              <w:spacing w:line="240" w:lineRule="exact"/>
              <w:rPr>
                <w:rFonts w:ascii="仿宋_GB2312" w:eastAsia="仿宋_GB2312"/>
                <w:sz w:val="22"/>
                <w:szCs w:val="24"/>
              </w:rPr>
            </w:pPr>
            <w:r>
              <w:rPr>
                <w:rFonts w:hint="eastAsia" w:ascii="仿宋_GB2312" w:eastAsia="仿宋_GB2312"/>
                <w:sz w:val="22"/>
                <w:szCs w:val="24"/>
              </w:rPr>
              <w:t>固原市社保中心</w:t>
            </w:r>
          </w:p>
        </w:tc>
        <w:tc>
          <w:tcPr>
            <w:tcW w:w="1717" w:type="dxa"/>
            <w:vAlign w:val="center"/>
          </w:tcPr>
          <w:p>
            <w:pPr>
              <w:spacing w:line="520" w:lineRule="exact"/>
              <w:jc w:val="center"/>
              <w:rPr>
                <w:rFonts w:ascii="仿宋_GB2312" w:eastAsia="仿宋_GB2312"/>
                <w:sz w:val="22"/>
                <w:szCs w:val="24"/>
              </w:rPr>
            </w:pPr>
          </w:p>
        </w:tc>
        <w:tc>
          <w:tcPr>
            <w:tcW w:w="1718" w:type="dxa"/>
            <w:vAlign w:val="center"/>
          </w:tcPr>
          <w:p>
            <w:pPr>
              <w:spacing w:line="520" w:lineRule="exact"/>
              <w:jc w:val="center"/>
              <w:rPr>
                <w:rFonts w:ascii="仿宋_GB2312" w:eastAsia="仿宋_GB2312"/>
                <w:sz w:val="22"/>
                <w:szCs w:val="30"/>
              </w:rPr>
            </w:pPr>
            <w:r>
              <w:rPr>
                <w:rFonts w:hint="eastAsia" w:ascii="仿宋_GB2312" w:eastAsia="仿宋_GB2312"/>
                <w:sz w:val="22"/>
                <w:szCs w:val="30"/>
              </w:rPr>
              <w:t>251098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87" w:type="dxa"/>
            <w:vAlign w:val="center"/>
          </w:tcPr>
          <w:p>
            <w:pPr>
              <w:spacing w:line="520" w:lineRule="exact"/>
              <w:jc w:val="center"/>
              <w:rPr>
                <w:rFonts w:ascii="仿宋_GB2312" w:eastAsia="仿宋_GB2312"/>
                <w:sz w:val="22"/>
                <w:szCs w:val="24"/>
              </w:rPr>
            </w:pPr>
            <w:r>
              <w:rPr>
                <w:rFonts w:hint="eastAsia" w:ascii="仿宋_GB2312" w:eastAsia="仿宋_GB2312"/>
                <w:sz w:val="22"/>
                <w:szCs w:val="24"/>
              </w:rPr>
              <w:t>19</w:t>
            </w:r>
          </w:p>
        </w:tc>
        <w:tc>
          <w:tcPr>
            <w:tcW w:w="3741" w:type="dxa"/>
            <w:vAlign w:val="center"/>
          </w:tcPr>
          <w:p>
            <w:pPr>
              <w:spacing w:line="240" w:lineRule="exact"/>
              <w:rPr>
                <w:rFonts w:ascii="仿宋_GB2312" w:eastAsia="仿宋_GB2312"/>
                <w:sz w:val="22"/>
                <w:szCs w:val="24"/>
              </w:rPr>
            </w:pPr>
            <w:r>
              <w:rPr>
                <w:rFonts w:hint="eastAsia" w:ascii="仿宋_GB2312" w:eastAsia="仿宋_GB2312"/>
                <w:sz w:val="22"/>
                <w:szCs w:val="24"/>
              </w:rPr>
              <w:t>吴忠市就业局</w:t>
            </w:r>
          </w:p>
        </w:tc>
        <w:tc>
          <w:tcPr>
            <w:tcW w:w="1717" w:type="dxa"/>
            <w:vAlign w:val="center"/>
          </w:tcPr>
          <w:p>
            <w:pPr>
              <w:spacing w:line="520" w:lineRule="exact"/>
              <w:jc w:val="center"/>
              <w:rPr>
                <w:rFonts w:ascii="仿宋_GB2312" w:eastAsia="仿宋_GB2312"/>
                <w:sz w:val="22"/>
                <w:szCs w:val="24"/>
              </w:rPr>
            </w:pPr>
          </w:p>
        </w:tc>
        <w:tc>
          <w:tcPr>
            <w:tcW w:w="1718" w:type="dxa"/>
            <w:vAlign w:val="center"/>
          </w:tcPr>
          <w:p>
            <w:pPr>
              <w:spacing w:line="520" w:lineRule="exact"/>
              <w:jc w:val="center"/>
              <w:rPr>
                <w:rFonts w:ascii="仿宋_GB2312" w:eastAsia="仿宋_GB2312"/>
                <w:sz w:val="22"/>
                <w:szCs w:val="30"/>
              </w:rPr>
            </w:pPr>
            <w:r>
              <w:rPr>
                <w:rFonts w:hint="eastAsia" w:ascii="仿宋_GB2312" w:eastAsia="仿宋_GB2312"/>
                <w:sz w:val="22"/>
                <w:szCs w:val="30"/>
              </w:rPr>
              <w:t>4117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287" w:type="dxa"/>
            <w:vAlign w:val="center"/>
          </w:tcPr>
          <w:p>
            <w:pPr>
              <w:spacing w:line="520" w:lineRule="exact"/>
              <w:jc w:val="center"/>
              <w:rPr>
                <w:rFonts w:ascii="仿宋_GB2312" w:eastAsia="仿宋_GB2312"/>
                <w:sz w:val="22"/>
                <w:szCs w:val="24"/>
              </w:rPr>
            </w:pPr>
            <w:r>
              <w:rPr>
                <w:rFonts w:hint="eastAsia" w:ascii="仿宋_GB2312" w:eastAsia="仿宋_GB2312"/>
                <w:sz w:val="22"/>
                <w:szCs w:val="24"/>
              </w:rPr>
              <w:t>20</w:t>
            </w:r>
          </w:p>
        </w:tc>
        <w:tc>
          <w:tcPr>
            <w:tcW w:w="3741" w:type="dxa"/>
            <w:vAlign w:val="center"/>
          </w:tcPr>
          <w:p>
            <w:pPr>
              <w:spacing w:line="240" w:lineRule="exact"/>
              <w:rPr>
                <w:rFonts w:ascii="仿宋_GB2312" w:eastAsia="仿宋_GB2312"/>
                <w:sz w:val="22"/>
                <w:szCs w:val="24"/>
              </w:rPr>
            </w:pPr>
            <w:r>
              <w:rPr>
                <w:rFonts w:hint="eastAsia" w:ascii="仿宋_GB2312" w:eastAsia="仿宋_GB2312"/>
                <w:sz w:val="22"/>
                <w:szCs w:val="24"/>
              </w:rPr>
              <w:t>其他厅局处室核查数据支持</w:t>
            </w:r>
          </w:p>
        </w:tc>
        <w:tc>
          <w:tcPr>
            <w:tcW w:w="1717" w:type="dxa"/>
            <w:vAlign w:val="center"/>
          </w:tcPr>
          <w:p>
            <w:pPr>
              <w:spacing w:line="520" w:lineRule="exact"/>
              <w:jc w:val="center"/>
              <w:rPr>
                <w:rFonts w:ascii="仿宋_GB2312" w:eastAsia="仿宋_GB2312"/>
                <w:sz w:val="22"/>
                <w:szCs w:val="24"/>
              </w:rPr>
            </w:pPr>
          </w:p>
        </w:tc>
        <w:tc>
          <w:tcPr>
            <w:tcW w:w="1718" w:type="dxa"/>
            <w:vAlign w:val="center"/>
          </w:tcPr>
          <w:p>
            <w:pPr>
              <w:spacing w:line="520" w:lineRule="exact"/>
              <w:jc w:val="center"/>
              <w:rPr>
                <w:rFonts w:ascii="仿宋_GB2312" w:eastAsia="仿宋_GB2312"/>
                <w:sz w:val="22"/>
                <w:szCs w:val="30"/>
              </w:rPr>
            </w:pPr>
            <w:r>
              <w:rPr>
                <w:rFonts w:hint="eastAsia" w:ascii="仿宋_GB2312" w:eastAsia="仿宋_GB2312"/>
                <w:sz w:val="22"/>
                <w:szCs w:val="30"/>
              </w:rPr>
              <w:t>784406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2" w:hRule="atLeast"/>
          <w:jc w:val="center"/>
        </w:trPr>
        <w:tc>
          <w:tcPr>
            <w:tcW w:w="5028" w:type="dxa"/>
            <w:gridSpan w:val="2"/>
            <w:vAlign w:val="center"/>
          </w:tcPr>
          <w:p>
            <w:pPr>
              <w:spacing w:line="240" w:lineRule="exact"/>
              <w:jc w:val="center"/>
              <w:rPr>
                <w:rFonts w:ascii="仿宋_GB2312" w:eastAsia="仿宋_GB2312"/>
                <w:sz w:val="22"/>
                <w:szCs w:val="24"/>
              </w:rPr>
            </w:pPr>
            <w:r>
              <w:rPr>
                <w:rFonts w:hint="eastAsia" w:ascii="仿宋_GB2312" w:eastAsia="仿宋_GB2312"/>
                <w:sz w:val="22"/>
                <w:szCs w:val="24"/>
              </w:rPr>
              <w:t>合计</w:t>
            </w:r>
          </w:p>
        </w:tc>
        <w:tc>
          <w:tcPr>
            <w:tcW w:w="1717" w:type="dxa"/>
            <w:vAlign w:val="center"/>
          </w:tcPr>
          <w:p>
            <w:pPr>
              <w:spacing w:line="520" w:lineRule="exact"/>
              <w:jc w:val="center"/>
              <w:rPr>
                <w:rFonts w:ascii="仿宋_GB2312" w:eastAsia="仿宋_GB2312"/>
                <w:sz w:val="22"/>
                <w:szCs w:val="24"/>
              </w:rPr>
            </w:pPr>
            <w:r>
              <w:rPr>
                <w:rFonts w:hint="eastAsia" w:ascii="仿宋_GB2312" w:eastAsia="仿宋_GB2312"/>
                <w:sz w:val="22"/>
                <w:szCs w:val="24"/>
              </w:rPr>
              <w:t>119038</w:t>
            </w:r>
          </w:p>
        </w:tc>
        <w:tc>
          <w:tcPr>
            <w:tcW w:w="1718" w:type="dxa"/>
            <w:vAlign w:val="center"/>
          </w:tcPr>
          <w:p>
            <w:pPr>
              <w:spacing w:line="520" w:lineRule="exact"/>
              <w:jc w:val="center"/>
              <w:rPr>
                <w:rFonts w:ascii="仿宋_GB2312" w:eastAsia="仿宋_GB2312"/>
                <w:sz w:val="22"/>
                <w:szCs w:val="30"/>
              </w:rPr>
            </w:pPr>
            <w:r>
              <w:rPr>
                <w:rFonts w:hint="eastAsia" w:ascii="仿宋_GB2312" w:eastAsia="仿宋_GB2312"/>
                <w:sz w:val="22"/>
                <w:szCs w:val="30"/>
              </w:rPr>
              <w:t>14730210</w:t>
            </w:r>
          </w:p>
        </w:tc>
      </w:tr>
      <w:bookmarkEnd w:id="4"/>
    </w:tbl>
    <w:p>
      <w:pPr>
        <w:spacing w:line="560" w:lineRule="exact"/>
        <w:ind w:firstLine="643" w:firstLineChars="200"/>
        <w:rPr>
          <w:rFonts w:ascii="仿宋_GB2312" w:eastAsia="仿宋_GB2312"/>
          <w:b/>
          <w:sz w:val="32"/>
          <w:szCs w:val="32"/>
        </w:rPr>
      </w:pP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2.获取数据情况。</w:t>
      </w:r>
      <w:r>
        <w:rPr>
          <w:rFonts w:hint="eastAsia" w:ascii="仿宋_GB2312" w:eastAsia="仿宋_GB2312"/>
          <w:sz w:val="32"/>
          <w:szCs w:val="32"/>
        </w:rPr>
        <w:t>与自治区司法厅、疾病预防控制中心签订合作协议，建立了监狱在押罪犯信息、死亡信息的常态化数据共享比对和协查机制。从自治区司法厅获取全区服刑人员信息20907条，监外人员信息825条；从自治区疾病预防控制中心获取2019年1月1日至2021年4月30日全区新增死亡人员信息共86298条，比对分析后按流程转社保监控处下发全区社保经办机构，核查并追回冒领、多领的待遇，有效堵塞违规参保、违规领取社会保险待遇的风险漏洞，保障社会保险基金安全。</w:t>
      </w:r>
    </w:p>
    <w:p>
      <w:pPr>
        <w:spacing w:line="560" w:lineRule="exact"/>
        <w:ind w:firstLine="643" w:firstLineChars="200"/>
        <w:rPr>
          <w:rFonts w:ascii="楷体_GB2312" w:eastAsia="楷体_GB2312"/>
          <w:b/>
          <w:sz w:val="32"/>
        </w:rPr>
      </w:pPr>
      <w:r>
        <w:rPr>
          <w:rFonts w:hint="eastAsia" w:ascii="楷体_GB2312" w:eastAsia="楷体_GB2312"/>
          <w:b/>
          <w:sz w:val="32"/>
        </w:rPr>
        <w:t>（三）“数字人社”（社保）便民服务创新提升行动情况</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1.“跨省通办”转移接续方面。</w:t>
      </w:r>
      <w:r>
        <w:rPr>
          <w:rFonts w:hint="eastAsia" w:ascii="仿宋_GB2312" w:eastAsia="仿宋_GB2312"/>
          <w:sz w:val="32"/>
          <w:szCs w:val="32"/>
        </w:rPr>
        <w:t>2021年，全区各级社保经办机构通过养老保险关系转移接续平台下载并审核申请表12826件，发送联系函10732件，接收联系函4101件，发送信息表4549件，接收信息表8413件。协调软件开发单位，</w:t>
      </w:r>
      <w:r>
        <w:rPr>
          <w:rFonts w:hint="eastAsia" w:ascii="仿宋_GB2312" w:eastAsia="仿宋_GB2312"/>
          <w:color w:val="000000"/>
          <w:sz w:val="32"/>
          <w:szCs w:val="32"/>
        </w:rPr>
        <w:t>对接人社部转移系统，</w:t>
      </w:r>
      <w:r>
        <w:rPr>
          <w:rFonts w:hint="eastAsia" w:ascii="仿宋_GB2312" w:eastAsia="仿宋_GB2312"/>
          <w:sz w:val="32"/>
          <w:szCs w:val="32"/>
        </w:rPr>
        <w:t>完成城乡居民、退役军人养老保险转移以及企业职工、城乡居民养老保险互转的信息系统功能的开发、测试、上线。</w:t>
      </w:r>
    </w:p>
    <w:p>
      <w:pPr>
        <w:spacing w:line="360" w:lineRule="exact"/>
        <w:jc w:val="center"/>
        <w:rPr>
          <w:rFonts w:ascii="仿宋_GB2312" w:eastAsia="仿宋_GB2312"/>
          <w:sz w:val="28"/>
          <w:szCs w:val="28"/>
        </w:rPr>
      </w:pPr>
      <w:r>
        <w:rPr>
          <w:rFonts w:hint="eastAsia" w:ascii="仿宋_GB2312" w:eastAsia="仿宋_GB2312"/>
          <w:sz w:val="28"/>
          <w:szCs w:val="28"/>
        </w:rPr>
        <w:t>表6-2:“跨省通办”（ 企业职工养老保险关系）转移接续情况表</w:t>
      </w:r>
    </w:p>
    <w:p>
      <w:pPr>
        <w:spacing w:line="240" w:lineRule="exact"/>
        <w:rPr>
          <w:rFonts w:ascii="仿宋_GB2312" w:eastAsia="仿宋_GB2312"/>
          <w:sz w:val="32"/>
          <w:szCs w:val="32"/>
        </w:rPr>
      </w:pPr>
    </w:p>
    <w:tbl>
      <w:tblPr>
        <w:tblStyle w:val="23"/>
        <w:tblW w:w="91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3"/>
        <w:gridCol w:w="1528"/>
        <w:gridCol w:w="1529"/>
        <w:gridCol w:w="1528"/>
        <w:gridCol w:w="1528"/>
        <w:gridCol w:w="1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33" w:type="dxa"/>
            <w:vAlign w:val="center"/>
          </w:tcPr>
          <w:p>
            <w:pPr>
              <w:spacing w:line="540" w:lineRule="exact"/>
              <w:jc w:val="center"/>
              <w:rPr>
                <w:rFonts w:ascii="黑体" w:hAnsi="黑体" w:eastAsia="黑体"/>
                <w:sz w:val="22"/>
                <w:szCs w:val="21"/>
              </w:rPr>
            </w:pPr>
          </w:p>
        </w:tc>
        <w:tc>
          <w:tcPr>
            <w:tcW w:w="1528" w:type="dxa"/>
            <w:vAlign w:val="center"/>
          </w:tcPr>
          <w:p>
            <w:pPr>
              <w:spacing w:line="240" w:lineRule="exact"/>
              <w:jc w:val="center"/>
              <w:rPr>
                <w:rFonts w:ascii="黑体" w:hAnsi="黑体" w:eastAsia="黑体"/>
                <w:sz w:val="22"/>
                <w:szCs w:val="21"/>
              </w:rPr>
            </w:pPr>
            <w:r>
              <w:rPr>
                <w:rFonts w:hint="eastAsia" w:ascii="黑体" w:hAnsi="黑体" w:eastAsia="黑体"/>
                <w:sz w:val="22"/>
                <w:szCs w:val="21"/>
              </w:rPr>
              <w:t>下载并审核</w:t>
            </w:r>
          </w:p>
          <w:p>
            <w:pPr>
              <w:spacing w:line="200" w:lineRule="exact"/>
              <w:rPr>
                <w:rFonts w:ascii="黑体" w:hAnsi="黑体" w:eastAsia="黑体"/>
                <w:sz w:val="22"/>
                <w:szCs w:val="32"/>
              </w:rPr>
            </w:pPr>
            <w:r>
              <w:rPr>
                <w:rFonts w:hint="eastAsia" w:ascii="黑体" w:hAnsi="黑体" w:eastAsia="黑体"/>
                <w:sz w:val="22"/>
                <w:szCs w:val="21"/>
              </w:rPr>
              <w:t>转移申请表</w:t>
            </w:r>
          </w:p>
        </w:tc>
        <w:tc>
          <w:tcPr>
            <w:tcW w:w="1529" w:type="dxa"/>
            <w:vAlign w:val="center"/>
          </w:tcPr>
          <w:p>
            <w:pPr>
              <w:spacing w:line="240" w:lineRule="exact"/>
              <w:jc w:val="center"/>
              <w:rPr>
                <w:rFonts w:ascii="黑体" w:hAnsi="黑体" w:eastAsia="黑体"/>
                <w:sz w:val="22"/>
                <w:szCs w:val="21"/>
              </w:rPr>
            </w:pPr>
            <w:r>
              <w:rPr>
                <w:rFonts w:hint="eastAsia" w:ascii="黑体" w:hAnsi="黑体" w:eastAsia="黑体"/>
                <w:sz w:val="22"/>
                <w:szCs w:val="21"/>
              </w:rPr>
              <w:t>发送联系函</w:t>
            </w:r>
          </w:p>
        </w:tc>
        <w:tc>
          <w:tcPr>
            <w:tcW w:w="1528" w:type="dxa"/>
            <w:vAlign w:val="center"/>
          </w:tcPr>
          <w:p>
            <w:pPr>
              <w:spacing w:line="240" w:lineRule="exact"/>
              <w:jc w:val="center"/>
              <w:rPr>
                <w:rFonts w:ascii="黑体" w:hAnsi="黑体" w:eastAsia="黑体"/>
                <w:sz w:val="22"/>
                <w:szCs w:val="21"/>
              </w:rPr>
            </w:pPr>
            <w:r>
              <w:rPr>
                <w:rFonts w:hint="eastAsia" w:ascii="黑体" w:hAnsi="黑体" w:eastAsia="黑体"/>
                <w:sz w:val="22"/>
                <w:szCs w:val="21"/>
              </w:rPr>
              <w:t>接收联系函</w:t>
            </w:r>
          </w:p>
        </w:tc>
        <w:tc>
          <w:tcPr>
            <w:tcW w:w="1528" w:type="dxa"/>
            <w:vAlign w:val="center"/>
          </w:tcPr>
          <w:p>
            <w:pPr>
              <w:spacing w:line="240" w:lineRule="exact"/>
              <w:jc w:val="center"/>
              <w:rPr>
                <w:rFonts w:ascii="黑体" w:hAnsi="黑体" w:eastAsia="黑体"/>
                <w:sz w:val="22"/>
                <w:szCs w:val="21"/>
              </w:rPr>
            </w:pPr>
            <w:r>
              <w:rPr>
                <w:rFonts w:hint="eastAsia" w:ascii="黑体" w:hAnsi="黑体" w:eastAsia="黑体"/>
                <w:sz w:val="22"/>
                <w:szCs w:val="21"/>
              </w:rPr>
              <w:t>发送信息表</w:t>
            </w:r>
          </w:p>
        </w:tc>
        <w:tc>
          <w:tcPr>
            <w:tcW w:w="1528" w:type="dxa"/>
            <w:vAlign w:val="center"/>
          </w:tcPr>
          <w:p>
            <w:pPr>
              <w:spacing w:line="240" w:lineRule="exact"/>
              <w:jc w:val="center"/>
              <w:rPr>
                <w:rFonts w:ascii="黑体" w:hAnsi="黑体" w:eastAsia="黑体"/>
                <w:sz w:val="22"/>
                <w:szCs w:val="21"/>
              </w:rPr>
            </w:pPr>
            <w:r>
              <w:rPr>
                <w:rFonts w:hint="eastAsia" w:ascii="黑体" w:hAnsi="黑体" w:eastAsia="黑体"/>
                <w:sz w:val="22"/>
                <w:szCs w:val="21"/>
              </w:rPr>
              <w:t>接收信息表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33" w:type="dxa"/>
            <w:vAlign w:val="center"/>
          </w:tcPr>
          <w:p>
            <w:pPr>
              <w:spacing w:line="240" w:lineRule="exact"/>
              <w:jc w:val="center"/>
              <w:rPr>
                <w:rFonts w:ascii="仿宋_GB2312" w:eastAsia="仿宋_GB2312"/>
                <w:sz w:val="22"/>
                <w:szCs w:val="21"/>
              </w:rPr>
            </w:pPr>
            <w:r>
              <w:rPr>
                <w:rFonts w:hint="eastAsia" w:ascii="仿宋_GB2312" w:eastAsia="仿宋_GB2312"/>
                <w:sz w:val="22"/>
                <w:szCs w:val="21"/>
              </w:rPr>
              <w:t>办件量（件）</w:t>
            </w:r>
          </w:p>
        </w:tc>
        <w:tc>
          <w:tcPr>
            <w:tcW w:w="1528" w:type="dxa"/>
            <w:vAlign w:val="center"/>
          </w:tcPr>
          <w:p>
            <w:pPr>
              <w:spacing w:line="240" w:lineRule="exact"/>
              <w:jc w:val="center"/>
              <w:rPr>
                <w:rFonts w:ascii="仿宋_GB2312" w:eastAsia="仿宋_GB2312"/>
                <w:sz w:val="22"/>
                <w:szCs w:val="21"/>
              </w:rPr>
            </w:pPr>
            <w:r>
              <w:rPr>
                <w:rFonts w:hint="eastAsia" w:ascii="仿宋_GB2312" w:eastAsia="仿宋_GB2312"/>
                <w:sz w:val="22"/>
                <w:szCs w:val="21"/>
              </w:rPr>
              <w:t>12826</w:t>
            </w:r>
          </w:p>
        </w:tc>
        <w:tc>
          <w:tcPr>
            <w:tcW w:w="1529" w:type="dxa"/>
            <w:vAlign w:val="center"/>
          </w:tcPr>
          <w:p>
            <w:pPr>
              <w:spacing w:line="240" w:lineRule="exact"/>
              <w:jc w:val="center"/>
              <w:rPr>
                <w:rFonts w:ascii="仿宋_GB2312" w:eastAsia="仿宋_GB2312"/>
                <w:sz w:val="22"/>
                <w:szCs w:val="21"/>
              </w:rPr>
            </w:pPr>
            <w:r>
              <w:rPr>
                <w:rFonts w:hint="eastAsia" w:ascii="仿宋_GB2312" w:eastAsia="仿宋_GB2312"/>
                <w:sz w:val="22"/>
                <w:szCs w:val="21"/>
              </w:rPr>
              <w:t>10732</w:t>
            </w:r>
          </w:p>
        </w:tc>
        <w:tc>
          <w:tcPr>
            <w:tcW w:w="1528" w:type="dxa"/>
            <w:vAlign w:val="center"/>
          </w:tcPr>
          <w:p>
            <w:pPr>
              <w:spacing w:line="240" w:lineRule="exact"/>
              <w:jc w:val="center"/>
              <w:rPr>
                <w:rFonts w:ascii="仿宋_GB2312" w:eastAsia="仿宋_GB2312"/>
                <w:sz w:val="22"/>
                <w:szCs w:val="21"/>
              </w:rPr>
            </w:pPr>
            <w:r>
              <w:rPr>
                <w:rFonts w:hint="eastAsia" w:ascii="仿宋_GB2312" w:eastAsia="仿宋_GB2312"/>
                <w:sz w:val="22"/>
                <w:szCs w:val="21"/>
              </w:rPr>
              <w:t>4101</w:t>
            </w:r>
          </w:p>
        </w:tc>
        <w:tc>
          <w:tcPr>
            <w:tcW w:w="1528" w:type="dxa"/>
            <w:vAlign w:val="center"/>
          </w:tcPr>
          <w:p>
            <w:pPr>
              <w:spacing w:line="240" w:lineRule="exact"/>
              <w:jc w:val="center"/>
              <w:rPr>
                <w:rFonts w:ascii="仿宋_GB2312" w:eastAsia="仿宋_GB2312"/>
                <w:sz w:val="22"/>
                <w:szCs w:val="21"/>
              </w:rPr>
            </w:pPr>
            <w:r>
              <w:rPr>
                <w:rFonts w:hint="eastAsia" w:ascii="仿宋_GB2312" w:eastAsia="仿宋_GB2312"/>
                <w:sz w:val="22"/>
                <w:szCs w:val="21"/>
              </w:rPr>
              <w:t>4549</w:t>
            </w:r>
          </w:p>
        </w:tc>
        <w:tc>
          <w:tcPr>
            <w:tcW w:w="1528" w:type="dxa"/>
            <w:vAlign w:val="center"/>
          </w:tcPr>
          <w:p>
            <w:pPr>
              <w:spacing w:line="240" w:lineRule="exact"/>
              <w:jc w:val="center"/>
              <w:rPr>
                <w:rFonts w:ascii="仿宋_GB2312" w:eastAsia="仿宋_GB2312"/>
                <w:sz w:val="22"/>
                <w:szCs w:val="21"/>
              </w:rPr>
            </w:pPr>
            <w:r>
              <w:rPr>
                <w:rFonts w:hint="eastAsia" w:ascii="仿宋_GB2312" w:eastAsia="仿宋_GB2312"/>
                <w:sz w:val="22"/>
                <w:szCs w:val="21"/>
              </w:rPr>
              <w:t>8413</w:t>
            </w:r>
          </w:p>
        </w:tc>
      </w:tr>
    </w:tbl>
    <w:p>
      <w:pPr>
        <w:spacing w:line="560" w:lineRule="exact"/>
        <w:ind w:firstLine="640" w:firstLineChars="200"/>
        <w:rPr>
          <w:rFonts w:ascii="仿宋_GB2312" w:eastAsia="仿宋_GB2312"/>
          <w:sz w:val="32"/>
          <w:szCs w:val="32"/>
        </w:rPr>
      </w:pP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2.待遇资格认证方面。</w:t>
      </w:r>
      <w:r>
        <w:rPr>
          <w:rFonts w:hint="eastAsia" w:ascii="仿宋_GB2312" w:eastAsia="仿宋_GB2312"/>
          <w:sz w:val="32"/>
          <w:szCs w:val="32"/>
        </w:rPr>
        <w:t>2021年，通过“掌上12333”“我的宁夏”APP“掌上认证”855042人次，通过街道（乡镇）民生服务中心及其社区（村）级代办点“家门口”认证352009人次，通过人社部待遇资格认证平台数据比对认证290311人次。同时，积极推进养老保险待遇资格认证方式优化服务，与人社部、</w:t>
      </w:r>
      <w:r>
        <w:rPr>
          <w:rFonts w:hint="eastAsia" w:ascii="仿宋_GB2312" w:eastAsia="仿宋_GB2312"/>
          <w:bCs/>
          <w:sz w:val="32"/>
          <w:szCs w:val="32"/>
        </w:rPr>
        <w:t>厅信息数据管理中心</w:t>
      </w:r>
      <w:r>
        <w:rPr>
          <w:rFonts w:hint="eastAsia" w:ascii="仿宋_GB2312" w:eastAsia="仿宋_GB2312"/>
          <w:sz w:val="32"/>
          <w:szCs w:val="32"/>
        </w:rPr>
        <w:t>沟通对接，</w:t>
      </w:r>
      <w:r>
        <w:rPr>
          <w:rFonts w:hint="eastAsia" w:ascii="仿宋_GB2312" w:eastAsia="仿宋_GB2312"/>
          <w:sz w:val="32"/>
          <w:szCs w:val="32"/>
          <w:lang w:bidi="ar"/>
        </w:rPr>
        <w:t>打通与部级社保待遇资格认证二期系统平台接口，将通过部级平台（电子社保卡、“掌上12333”手机APP全国性服务、国家社保公共服务平台）认证的结果同步至本地业务系统，进一步扩展了认证渠道，提高了认证时效性。</w:t>
      </w:r>
    </w:p>
    <w:p>
      <w:pPr>
        <w:spacing w:line="200" w:lineRule="exact"/>
        <w:ind w:left="105" w:leftChars="50" w:firstLine="640" w:firstLineChars="200"/>
        <w:rPr>
          <w:rFonts w:ascii="仿宋_GB2312" w:eastAsia="仿宋_GB2312"/>
          <w:sz w:val="32"/>
          <w:szCs w:val="32"/>
        </w:rPr>
      </w:pPr>
    </w:p>
    <w:p>
      <w:pPr>
        <w:jc w:val="center"/>
        <w:rPr>
          <w:rFonts w:ascii="仿宋_GB2312" w:eastAsia="仿宋_GB2312"/>
          <w:sz w:val="32"/>
          <w:szCs w:val="32"/>
          <w:bdr w:val="single" w:color="808080" w:sz="4" w:space="0"/>
        </w:rPr>
      </w:pPr>
      <w:bookmarkStart w:id="5" w:name="_1690289996"/>
      <w:bookmarkEnd w:id="5"/>
      <w:r>
        <w:rPr>
          <w:rFonts w:hint="eastAsia" w:ascii="仿宋_GB2312" w:eastAsia="仿宋_GB2312"/>
          <w:sz w:val="32"/>
          <w:szCs w:val="32"/>
          <w:bdr w:val="single" w:color="808080" w:sz="4" w:space="0"/>
        </w:rPr>
        <w:object>
          <v:shape id="_x0000_i1028" o:spt="75" type="#_x0000_t75" style="height:227.25pt;width:339pt;" o:ole="t" filled="f" o:preferrelative="t" stroked="f" coordsize="21600,21600">
            <v:path/>
            <v:fill on="f" focussize="0,0"/>
            <v:stroke on="f" joinstyle="miter"/>
            <v:imagedata r:id="rId49" o:title=""/>
            <o:lock v:ext="edit" aspectratio="t"/>
            <w10:wrap type="none"/>
            <w10:anchorlock/>
          </v:shape>
          <o:OLEObject Type="Embed" ProgID="Excel.Sheet.8" ShapeID="_x0000_i1028" DrawAspect="Content" ObjectID="_1468075729" r:id="rId48">
            <o:LockedField>false</o:LockedField>
          </o:OLEObject>
        </w:object>
      </w:r>
    </w:p>
    <w:p>
      <w:pPr>
        <w:jc w:val="center"/>
        <w:rPr>
          <w:rFonts w:ascii="仿宋_GB2312" w:eastAsia="仿宋_GB2312"/>
          <w:sz w:val="28"/>
          <w:szCs w:val="28"/>
        </w:rPr>
      </w:pPr>
      <w:r>
        <w:rPr>
          <w:rFonts w:hint="eastAsia" w:ascii="仿宋_GB2312" w:eastAsia="仿宋_GB2312"/>
          <w:sz w:val="28"/>
          <w:szCs w:val="28"/>
        </w:rPr>
        <w:t>图6-2：2021年待遇资格认证情况表</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3.短信发放方面。</w:t>
      </w:r>
      <w:r>
        <w:rPr>
          <w:rFonts w:hint="eastAsia" w:ascii="仿宋_GB2312" w:eastAsia="仿宋_GB2312"/>
          <w:sz w:val="32"/>
          <w:szCs w:val="32"/>
        </w:rPr>
        <w:t>建立养老金发放短信服务“直通车”，2021年，为全区养老保险领取待遇人员发送领取待遇告知相关短信共计1236.42万条。其中，机关事业养老保险短信281.32万条， 城镇职工养老保险534.48万条，城乡居民养老保险短信225.24万条，发送民族团结奖短信79.98万条,发送温馨提示短信115.40万条。同时，专门向区本级退休但尚未认证的31242名退休人员发送提醒短信，督促及时认证，保障其养老待遇的正常发放。</w:t>
      </w:r>
    </w:p>
    <w:p>
      <w:pPr>
        <w:jc w:val="center"/>
        <w:rPr>
          <w:rFonts w:ascii="仿宋_GB2312" w:eastAsia="仿宋_GB2312"/>
          <w:sz w:val="32"/>
          <w:szCs w:val="32"/>
        </w:rPr>
      </w:pPr>
      <w:bookmarkStart w:id="6" w:name="_1689518840"/>
      <w:bookmarkEnd w:id="6"/>
      <w:bookmarkStart w:id="7" w:name="_1689518753"/>
      <w:bookmarkEnd w:id="7"/>
      <w:bookmarkStart w:id="8" w:name="_1689518816"/>
      <w:bookmarkEnd w:id="8"/>
      <w:bookmarkStart w:id="9" w:name="_1689519048"/>
      <w:bookmarkEnd w:id="9"/>
      <w:bookmarkStart w:id="10" w:name="_1689519101"/>
      <w:bookmarkEnd w:id="10"/>
      <w:bookmarkStart w:id="11" w:name="_1689518909"/>
      <w:bookmarkEnd w:id="11"/>
      <w:bookmarkStart w:id="12" w:name="_1689518972"/>
      <w:bookmarkEnd w:id="12"/>
      <w:bookmarkStart w:id="13" w:name="_1689518868"/>
      <w:bookmarkEnd w:id="13"/>
      <w:bookmarkStart w:id="14" w:name="_1689518887"/>
      <w:bookmarkEnd w:id="14"/>
      <w:bookmarkStart w:id="15" w:name="_1689518900"/>
      <w:bookmarkEnd w:id="15"/>
      <w:bookmarkStart w:id="16" w:name="_1689518944"/>
      <w:bookmarkEnd w:id="16"/>
      <w:r>
        <w:rPr>
          <w:rFonts w:hint="eastAsia" w:ascii="仿宋_GB2312" w:eastAsia="仿宋_GB2312"/>
          <w:sz w:val="32"/>
          <w:szCs w:val="32"/>
        </w:rPr>
        <w:object>
          <v:shape id="_x0000_i1029" o:spt="75" type="#_x0000_t75" style="height:220.5pt;width:381pt;" o:ole="t" filled="f" o:preferrelative="t" stroked="f" coordsize="21600,21600">
            <v:path/>
            <v:fill on="f" focussize="0,0"/>
            <v:stroke on="f" joinstyle="miter"/>
            <v:imagedata r:id="rId51" o:title=""/>
            <o:lock v:ext="edit" aspectratio="t"/>
            <w10:wrap type="none"/>
            <w10:anchorlock/>
          </v:shape>
          <o:OLEObject Type="Embed" ProgID="Excel.Sheet.8" ShapeID="_x0000_i1029" DrawAspect="Content" ObjectID="_1468075730" r:id="rId50">
            <o:LockedField>false</o:LockedField>
          </o:OLEObject>
        </w:object>
      </w:r>
    </w:p>
    <w:p>
      <w:pPr>
        <w:jc w:val="center"/>
        <w:rPr>
          <w:rFonts w:ascii="仿宋_GB2312" w:eastAsia="仿宋_GB2312"/>
          <w:sz w:val="32"/>
          <w:szCs w:val="32"/>
        </w:rPr>
      </w:pPr>
      <w:r>
        <w:rPr>
          <w:rFonts w:hint="eastAsia" w:ascii="仿宋_GB2312" w:eastAsia="仿宋_GB2312"/>
          <w:sz w:val="28"/>
          <w:szCs w:val="28"/>
        </w:rPr>
        <w:t>图6-3：2021年短信发放情况表</w:t>
      </w:r>
    </w:p>
    <w:p>
      <w:pPr>
        <w:spacing w:line="560" w:lineRule="exact"/>
        <w:ind w:left="105" w:leftChars="50" w:firstLine="643" w:firstLineChars="200"/>
        <w:rPr>
          <w:rFonts w:ascii="仿宋_GB2312" w:eastAsia="仿宋_GB2312"/>
          <w:color w:val="FF0000"/>
          <w:sz w:val="32"/>
          <w:szCs w:val="32"/>
        </w:rPr>
      </w:pPr>
      <w:r>
        <w:rPr>
          <w:rFonts w:hint="eastAsia" w:ascii="仿宋_GB2312" w:eastAsia="仿宋_GB2312"/>
          <w:b/>
          <w:sz w:val="32"/>
          <w:szCs w:val="32"/>
        </w:rPr>
        <w:t>4.“网上人社”方面。</w:t>
      </w:r>
      <w:r>
        <w:rPr>
          <w:rFonts w:hint="eastAsia" w:ascii="仿宋_GB2312" w:eastAsia="仿宋_GB2312"/>
          <w:sz w:val="32"/>
          <w:szCs w:val="32"/>
        </w:rPr>
        <w:t>截至2021年12月底，全区累计注册单位用户5.58万户、个人用户75.67万人。</w:t>
      </w:r>
    </w:p>
    <w:p>
      <w:pPr>
        <w:spacing w:line="560" w:lineRule="exact"/>
        <w:ind w:firstLine="645"/>
        <w:rPr>
          <w:rFonts w:ascii="楷体_GB2312" w:eastAsia="楷体_GB2312"/>
          <w:b/>
          <w:sz w:val="32"/>
        </w:rPr>
      </w:pPr>
      <w:r>
        <w:rPr>
          <w:rFonts w:hint="eastAsia" w:ascii="楷体_GB2312" w:eastAsia="楷体_GB2312"/>
          <w:b/>
          <w:sz w:val="32"/>
        </w:rPr>
        <w:t>（四）社保信息系统操作手册编制情况</w:t>
      </w:r>
    </w:p>
    <w:p>
      <w:pPr>
        <w:spacing w:line="560" w:lineRule="exact"/>
        <w:ind w:firstLine="645"/>
        <w:rPr>
          <w:rFonts w:ascii="仿宋_GB2312" w:eastAsia="仿宋_GB2312"/>
          <w:sz w:val="32"/>
          <w:szCs w:val="32"/>
        </w:rPr>
      </w:pPr>
      <w:r>
        <w:rPr>
          <w:rFonts w:hint="eastAsia" w:ascii="仿宋_GB2312" w:eastAsia="仿宋_GB2312"/>
          <w:sz w:val="32"/>
          <w:szCs w:val="32"/>
        </w:rPr>
        <w:t>为提升全区社保经办人员企业职工（城乡居民）养老保险信息系统操作水平，强化全区社保系统工作人员经办能力，先后两次抽调部分经办机构业务骨干，集中工作力量，整合业务需求，采取二编二审的方式，精心编制了</w:t>
      </w:r>
      <w:r>
        <w:rPr>
          <w:rFonts w:hint="eastAsia" w:ascii="仿宋_GB2312" w:eastAsia="仿宋_GB2312"/>
          <w:color w:val="000000"/>
          <w:sz w:val="32"/>
          <w:szCs w:val="32"/>
          <w:lang w:val="zh-TW" w:eastAsia="zh-TW"/>
        </w:rPr>
        <w:t>《宁夏社会保险管理信息系统操作手册》</w:t>
      </w:r>
      <w:r>
        <w:rPr>
          <w:rFonts w:hint="eastAsia" w:ascii="仿宋_GB2312" w:eastAsia="仿宋_GB2312"/>
          <w:color w:val="000000"/>
          <w:sz w:val="32"/>
          <w:szCs w:val="32"/>
          <w:lang w:val="zh-TW"/>
        </w:rPr>
        <w:t>印发全区</w:t>
      </w:r>
      <w:r>
        <w:rPr>
          <w:rFonts w:hint="eastAsia" w:ascii="仿宋_GB2312" w:eastAsia="仿宋_GB2312"/>
          <w:sz w:val="32"/>
          <w:szCs w:val="32"/>
        </w:rPr>
        <w:t>。《手册》按业务流程步骤共分12个大章节、321个小章节，全文篇幅387页10.2万多字。此次《手册》编制工作，立足长远规划和系统今后功能完善，深钻细研经办流程，全面梳理政策法规，深刻剖析问题原因，深入研究群众需求和系统功能设计，进一步理清了政策法规、社保经办、监督监管、系统建设、信息共享的关系，充分展示了历次优化升级后宁夏社会保险信息系统当前业务规范统一的功能特点，也为大力推进宁夏金保工程二期项目建设厘清了思路、打好了基础。</w:t>
      </w:r>
    </w:p>
    <w:p>
      <w:pPr>
        <w:spacing w:line="560" w:lineRule="exact"/>
        <w:ind w:firstLine="643" w:firstLineChars="200"/>
        <w:rPr>
          <w:rFonts w:ascii="楷体_GB2312" w:eastAsia="楷体_GB2312"/>
          <w:b/>
          <w:sz w:val="32"/>
        </w:rPr>
      </w:pPr>
      <w:r>
        <w:rPr>
          <w:rFonts w:hint="eastAsia" w:ascii="楷体_GB2312" w:eastAsia="楷体_GB2312"/>
          <w:b/>
          <w:sz w:val="32"/>
        </w:rPr>
        <w:t>（五）其他重点工作推进情况</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一是</w:t>
      </w:r>
      <w:r>
        <w:rPr>
          <w:rFonts w:hint="eastAsia" w:ascii="仿宋_GB2312" w:eastAsia="仿宋_GB2312"/>
          <w:sz w:val="32"/>
          <w:szCs w:val="32"/>
        </w:rPr>
        <w:t>根据自治区政务服务“跨省通办”有关要求，制定印发《宁夏社会保险经办有关服务事项“跨省通办”实施方案》，就进一步深化“放管服”改革，加快落实国家惠民政策，结合我区实际，制定方案，明确了个人权益记录单异地查询打印、养老保险关系转移网上办理等事项。</w:t>
      </w:r>
      <w:r>
        <w:rPr>
          <w:rFonts w:hint="eastAsia" w:ascii="仿宋_GB2312" w:eastAsia="仿宋_GB2312"/>
          <w:b/>
          <w:sz w:val="32"/>
          <w:szCs w:val="32"/>
        </w:rPr>
        <w:t>二是</w:t>
      </w:r>
      <w:r>
        <w:rPr>
          <w:rFonts w:hint="eastAsia" w:ascii="仿宋_GB2312" w:eastAsia="仿宋_GB2312"/>
          <w:sz w:val="32"/>
          <w:szCs w:val="32"/>
        </w:rPr>
        <w:t>牵头起草印发《关于进一步优化社保公共服务切实解决老年人运用智能技术困难实施方案》，就进一步优化社保公共服务，坚持传统服务方式与智能化服务有机结合，着力解决老年人在社保公共服务中遇到的难点问题，让老年人在信息化发展中有更多获得感、幸福感、安全感。</w:t>
      </w:r>
      <w:r>
        <w:rPr>
          <w:rFonts w:hint="eastAsia" w:ascii="仿宋_GB2312" w:eastAsia="仿宋_GB2312"/>
          <w:color w:val="000000"/>
          <w:sz w:val="32"/>
          <w:szCs w:val="32"/>
          <w:lang w:val="zh-TW"/>
        </w:rPr>
        <w:t>每季度</w:t>
      </w:r>
      <w:r>
        <w:rPr>
          <w:rFonts w:hint="eastAsia" w:ascii="仿宋_GB2312" w:eastAsia="仿宋_GB2312"/>
          <w:color w:val="000000"/>
          <w:sz w:val="32"/>
          <w:szCs w:val="32"/>
          <w:lang w:val="zh-TW" w:eastAsia="zh-TW"/>
        </w:rPr>
        <w:t>调度</w:t>
      </w:r>
      <w:r>
        <w:rPr>
          <w:rFonts w:hint="eastAsia" w:ascii="仿宋_GB2312" w:eastAsia="仿宋_GB2312"/>
          <w:color w:val="000000"/>
          <w:sz w:val="32"/>
          <w:szCs w:val="32"/>
          <w:lang w:val="zh-TW"/>
        </w:rPr>
        <w:t>一次</w:t>
      </w:r>
      <w:r>
        <w:rPr>
          <w:rFonts w:hint="eastAsia" w:ascii="仿宋_GB2312" w:eastAsia="仿宋_GB2312"/>
          <w:color w:val="000000"/>
          <w:sz w:val="32"/>
          <w:szCs w:val="32"/>
          <w:lang w:val="zh-TW" w:eastAsia="zh-TW"/>
        </w:rPr>
        <w:t>全区</w:t>
      </w:r>
      <w:r>
        <w:rPr>
          <w:rFonts w:hint="eastAsia" w:ascii="仿宋_GB2312" w:eastAsia="仿宋_GB2312"/>
          <w:color w:val="000000"/>
          <w:sz w:val="32"/>
          <w:szCs w:val="32"/>
          <w:lang w:val="zh-TW"/>
        </w:rPr>
        <w:t>社保</w:t>
      </w:r>
      <w:r>
        <w:rPr>
          <w:rFonts w:hint="eastAsia" w:ascii="仿宋_GB2312" w:eastAsia="仿宋_GB2312"/>
          <w:color w:val="000000"/>
          <w:sz w:val="32"/>
          <w:szCs w:val="32"/>
          <w:lang w:val="zh-TW" w:eastAsia="zh-TW"/>
        </w:rPr>
        <w:t>经办</w:t>
      </w:r>
      <w:r>
        <w:rPr>
          <w:rFonts w:hint="eastAsia" w:ascii="仿宋_GB2312" w:eastAsia="仿宋_GB2312"/>
          <w:color w:val="000000"/>
          <w:sz w:val="32"/>
          <w:szCs w:val="32"/>
        </w:rPr>
        <w:t>“</w:t>
      </w:r>
      <w:r>
        <w:rPr>
          <w:rFonts w:hint="eastAsia" w:ascii="仿宋_GB2312" w:eastAsia="仿宋_GB2312"/>
          <w:color w:val="000000"/>
          <w:sz w:val="32"/>
          <w:szCs w:val="32"/>
          <w:lang w:val="zh-TW" w:eastAsia="zh-TW"/>
        </w:rPr>
        <w:t>适老化</w:t>
      </w:r>
      <w:r>
        <w:rPr>
          <w:rFonts w:hint="eastAsia" w:ascii="仿宋_GB2312" w:eastAsia="仿宋_GB2312"/>
          <w:color w:val="000000"/>
          <w:sz w:val="32"/>
          <w:szCs w:val="32"/>
        </w:rPr>
        <w:t>”</w:t>
      </w:r>
      <w:r>
        <w:rPr>
          <w:rFonts w:hint="eastAsia" w:ascii="仿宋_GB2312" w:eastAsia="仿宋_GB2312"/>
          <w:color w:val="000000"/>
          <w:sz w:val="32"/>
          <w:szCs w:val="32"/>
          <w:lang w:val="zh-TW" w:eastAsia="zh-TW"/>
        </w:rPr>
        <w:t>服务进展</w:t>
      </w:r>
      <w:r>
        <w:rPr>
          <w:rFonts w:hint="eastAsia" w:ascii="仿宋_GB2312" w:eastAsia="仿宋_GB2312"/>
          <w:color w:val="000000"/>
          <w:sz w:val="32"/>
          <w:szCs w:val="32"/>
          <w:lang w:val="zh-TW"/>
        </w:rPr>
        <w:t>情况，</w:t>
      </w:r>
      <w:r>
        <w:rPr>
          <w:rFonts w:hint="eastAsia" w:ascii="仿宋_GB2312" w:eastAsia="仿宋_GB2312"/>
          <w:color w:val="000000"/>
          <w:sz w:val="32"/>
          <w:szCs w:val="32"/>
          <w:lang w:val="zh-TW" w:eastAsia="zh-TW"/>
        </w:rPr>
        <w:t>及时协调解决问题，并向部社保中心报送</w:t>
      </w:r>
      <w:r>
        <w:rPr>
          <w:rFonts w:hint="eastAsia" w:ascii="仿宋_GB2312" w:eastAsia="仿宋_GB2312"/>
          <w:color w:val="000000"/>
          <w:sz w:val="32"/>
          <w:szCs w:val="32"/>
          <w:lang w:val="zh-TW"/>
        </w:rPr>
        <w:t>情况</w:t>
      </w:r>
      <w:r>
        <w:rPr>
          <w:rFonts w:hint="eastAsia" w:ascii="仿宋_GB2312" w:eastAsia="仿宋_GB2312"/>
          <w:color w:val="000000"/>
          <w:sz w:val="32"/>
          <w:szCs w:val="32"/>
          <w:lang w:val="zh-TW" w:eastAsia="zh-TW"/>
        </w:rPr>
        <w:t>。</w:t>
      </w:r>
      <w:r>
        <w:rPr>
          <w:rFonts w:hint="eastAsia" w:ascii="仿宋_GB2312" w:eastAsia="仿宋_GB2312"/>
          <w:color w:val="000000"/>
          <w:sz w:val="32"/>
          <w:szCs w:val="32"/>
          <w:lang w:bidi="ar"/>
        </w:rPr>
        <w:t>《中国劳动保障报》刊发《送上贴心服务助老舒心无忧——宁夏优化社保经办提供服务》，</w:t>
      </w:r>
      <w:r>
        <w:rPr>
          <w:rFonts w:hint="eastAsia" w:ascii="仿宋_GB2312" w:eastAsia="仿宋_GB2312"/>
          <w:color w:val="000000"/>
          <w:sz w:val="32"/>
          <w:szCs w:val="32"/>
        </w:rPr>
        <w:t>介绍我区经验做法。</w:t>
      </w:r>
      <w:r>
        <w:rPr>
          <w:rFonts w:hint="eastAsia" w:ascii="仿宋_GB2312" w:eastAsia="仿宋_GB2312"/>
          <w:b/>
          <w:sz w:val="32"/>
          <w:szCs w:val="32"/>
        </w:rPr>
        <w:t>三是</w:t>
      </w:r>
      <w:r>
        <w:rPr>
          <w:rFonts w:hint="eastAsia" w:ascii="仿宋_GB2312" w:eastAsia="仿宋_GB2312"/>
          <w:sz w:val="32"/>
          <w:szCs w:val="32"/>
        </w:rPr>
        <w:t>认真梳理总结我区“加强社银合作，借力解决基层网点人员及效率问题”方面的经验做法，在人社部社保中心组织的专题视频交流会上交流发言；</w:t>
      </w:r>
      <w:r>
        <w:rPr>
          <w:rFonts w:hint="eastAsia" w:ascii="仿宋_GB2312" w:eastAsia="仿宋_GB2312"/>
          <w:color w:val="000000"/>
          <w:sz w:val="32"/>
          <w:szCs w:val="32"/>
          <w:lang w:val="zh-TW" w:bidi="ar"/>
        </w:rPr>
        <w:t>《中国社会保障》</w:t>
      </w:r>
      <w:r>
        <w:rPr>
          <w:rFonts w:hint="eastAsia" w:ascii="仿宋_GB2312" w:eastAsia="仿宋_GB2312"/>
          <w:color w:val="000000"/>
          <w:sz w:val="32"/>
          <w:szCs w:val="32"/>
          <w:lang w:bidi="ar"/>
        </w:rPr>
        <w:t>杂志</w:t>
      </w:r>
      <w:r>
        <w:rPr>
          <w:rFonts w:hint="eastAsia" w:ascii="仿宋_GB2312" w:eastAsia="仿宋_GB2312"/>
          <w:color w:val="000000"/>
          <w:sz w:val="32"/>
          <w:szCs w:val="32"/>
          <w:lang w:val="zh-TW" w:bidi="ar"/>
        </w:rPr>
        <w:t>、</w:t>
      </w:r>
      <w:r>
        <w:rPr>
          <w:rFonts w:hint="eastAsia" w:ascii="仿宋_GB2312" w:eastAsia="仿宋_GB2312"/>
          <w:color w:val="000000"/>
          <w:sz w:val="32"/>
          <w:szCs w:val="32"/>
          <w:lang w:bidi="ar"/>
        </w:rPr>
        <w:t>人社部社保中心</w:t>
      </w:r>
      <w:r>
        <w:rPr>
          <w:rFonts w:hint="eastAsia" w:ascii="仿宋_GB2312" w:eastAsia="仿宋_GB2312"/>
          <w:color w:val="000000"/>
          <w:sz w:val="32"/>
          <w:szCs w:val="32"/>
          <w:lang w:val="zh-TW" w:bidi="ar"/>
        </w:rPr>
        <w:t>《</w:t>
      </w:r>
      <w:r>
        <w:rPr>
          <w:rFonts w:hint="eastAsia" w:ascii="仿宋_GB2312" w:eastAsia="仿宋_GB2312"/>
          <w:color w:val="000000"/>
          <w:sz w:val="32"/>
          <w:szCs w:val="32"/>
          <w:lang w:bidi="ar"/>
        </w:rPr>
        <w:t>社会保险工作信息</w:t>
      </w:r>
      <w:r>
        <w:rPr>
          <w:rFonts w:hint="eastAsia" w:ascii="仿宋_GB2312" w:eastAsia="仿宋_GB2312"/>
          <w:color w:val="000000"/>
          <w:sz w:val="32"/>
          <w:szCs w:val="32"/>
          <w:lang w:val="zh-TW" w:bidi="ar"/>
        </w:rPr>
        <w:t>》</w:t>
      </w:r>
      <w:r>
        <w:rPr>
          <w:rFonts w:hint="eastAsia" w:ascii="仿宋_GB2312" w:eastAsia="仿宋_GB2312"/>
          <w:color w:val="000000"/>
          <w:sz w:val="32"/>
          <w:szCs w:val="32"/>
          <w:lang w:bidi="ar"/>
        </w:rPr>
        <w:t>、自治区党委办公厅《综合信息》</w:t>
      </w:r>
      <w:r>
        <w:rPr>
          <w:rFonts w:hint="eastAsia" w:ascii="仿宋_GB2312" w:eastAsia="仿宋_GB2312"/>
          <w:color w:val="000000"/>
          <w:sz w:val="32"/>
          <w:szCs w:val="32"/>
          <w:lang w:val="zh-TW" w:bidi="ar"/>
        </w:rPr>
        <w:t>刊</w:t>
      </w:r>
      <w:r>
        <w:rPr>
          <w:rFonts w:hint="eastAsia" w:ascii="仿宋_GB2312" w:eastAsia="仿宋_GB2312"/>
          <w:color w:val="000000"/>
          <w:sz w:val="32"/>
          <w:szCs w:val="32"/>
          <w:lang w:bidi="ar"/>
        </w:rPr>
        <w:t>发</w:t>
      </w:r>
      <w:r>
        <w:rPr>
          <w:rFonts w:hint="eastAsia" w:ascii="仿宋_GB2312" w:eastAsia="仿宋_GB2312"/>
          <w:color w:val="000000"/>
          <w:sz w:val="32"/>
          <w:szCs w:val="32"/>
          <w:lang w:val="zh-TW" w:bidi="ar"/>
        </w:rPr>
        <w:t>我区社保数字化转型做法。</w:t>
      </w:r>
      <w:r>
        <w:rPr>
          <w:rFonts w:hint="eastAsia" w:ascii="仿宋_GB2312" w:eastAsia="仿宋_GB2312"/>
          <w:b/>
          <w:sz w:val="32"/>
          <w:szCs w:val="32"/>
        </w:rPr>
        <w:t>四是</w:t>
      </w:r>
      <w:r>
        <w:rPr>
          <w:rFonts w:hint="eastAsia" w:ascii="仿宋_GB2312" w:eastAsia="仿宋_GB2312"/>
          <w:sz w:val="32"/>
          <w:szCs w:val="32"/>
        </w:rPr>
        <w:t>切实落实安全生产责任制，</w:t>
      </w:r>
      <w:r>
        <w:rPr>
          <w:rFonts w:hint="eastAsia" w:ascii="仿宋_GB2312" w:eastAsia="仿宋_GB2312"/>
          <w:color w:val="000000"/>
          <w:sz w:val="32"/>
          <w:szCs w:val="32"/>
          <w:lang w:val="zh-TW"/>
        </w:rPr>
        <w:t>完成</w:t>
      </w:r>
      <w:r>
        <w:rPr>
          <w:rFonts w:hint="eastAsia" w:ascii="仿宋_GB2312" w:eastAsia="仿宋_GB2312"/>
          <w:color w:val="000000"/>
          <w:sz w:val="32"/>
          <w:szCs w:val="32"/>
        </w:rPr>
        <w:t>2021</w:t>
      </w:r>
      <w:r>
        <w:rPr>
          <w:rFonts w:hint="eastAsia" w:ascii="仿宋_GB2312" w:eastAsia="仿宋_GB2312"/>
          <w:color w:val="000000"/>
          <w:sz w:val="32"/>
          <w:szCs w:val="32"/>
          <w:lang w:val="zh-TW"/>
        </w:rPr>
        <w:t>年度</w:t>
      </w:r>
      <w:r>
        <w:rPr>
          <w:rFonts w:hint="eastAsia" w:ascii="仿宋_GB2312" w:eastAsia="仿宋_GB2312"/>
          <w:color w:val="000000"/>
          <w:sz w:val="32"/>
          <w:szCs w:val="32"/>
          <w:lang w:val="zh-TW" w:eastAsia="zh-TW"/>
        </w:rPr>
        <w:t>等保测评</w:t>
      </w:r>
      <w:r>
        <w:rPr>
          <w:rFonts w:hint="eastAsia" w:ascii="仿宋_GB2312" w:eastAsia="仿宋_GB2312"/>
          <w:color w:val="000000"/>
          <w:sz w:val="32"/>
          <w:szCs w:val="32"/>
          <w:lang w:val="zh-TW"/>
        </w:rPr>
        <w:t>和</w:t>
      </w:r>
      <w:r>
        <w:rPr>
          <w:rFonts w:hint="eastAsia" w:ascii="仿宋_GB2312" w:eastAsia="仿宋_GB2312"/>
          <w:sz w:val="32"/>
          <w:szCs w:val="32"/>
        </w:rPr>
        <w:t>问题整改</w:t>
      </w:r>
      <w:r>
        <w:rPr>
          <w:rFonts w:hint="eastAsia" w:ascii="仿宋_GB2312" w:eastAsia="仿宋_GB2312"/>
          <w:color w:val="000000"/>
          <w:sz w:val="32"/>
          <w:szCs w:val="32"/>
          <w:lang w:val="zh-TW"/>
        </w:rPr>
        <w:t>，</w:t>
      </w:r>
      <w:r>
        <w:rPr>
          <w:rFonts w:hint="eastAsia" w:ascii="仿宋_GB2312" w:eastAsia="仿宋_GB2312"/>
          <w:sz w:val="32"/>
          <w:szCs w:val="32"/>
        </w:rPr>
        <w:t>做好社会保险信息系统软硬件、数据库、网络等维保巡检和节假日安全保障值班，成立网络安全工作领导小组，压实安全责任，确保社保业务信息系统平稳顺畅运转。</w:t>
      </w:r>
      <w:r>
        <w:rPr>
          <w:rFonts w:hint="eastAsia" w:ascii="仿宋_GB2312" w:eastAsia="仿宋_GB2312"/>
          <w:b/>
          <w:bCs/>
          <w:sz w:val="32"/>
          <w:szCs w:val="32"/>
        </w:rPr>
        <w:t>五是</w:t>
      </w:r>
      <w:r>
        <w:rPr>
          <w:rFonts w:hint="eastAsia" w:ascii="仿宋_GB2312" w:eastAsia="仿宋_GB2312"/>
          <w:color w:val="000000"/>
          <w:sz w:val="32"/>
          <w:szCs w:val="32"/>
          <w:lang w:val="zh-TW" w:eastAsia="zh-TW"/>
        </w:rPr>
        <w:t>做好</w:t>
      </w:r>
      <w:r>
        <w:rPr>
          <w:rFonts w:hint="eastAsia" w:ascii="仿宋_GB2312" w:eastAsia="仿宋_GB2312"/>
          <w:color w:val="000000"/>
          <w:sz w:val="32"/>
          <w:szCs w:val="32"/>
          <w:lang w:val="zh-TW"/>
        </w:rPr>
        <w:t>宁夏</w:t>
      </w:r>
      <w:r>
        <w:rPr>
          <w:rFonts w:hint="eastAsia" w:ascii="仿宋_GB2312" w:eastAsia="仿宋_GB2312"/>
          <w:color w:val="000000"/>
          <w:sz w:val="32"/>
          <w:szCs w:val="32"/>
          <w:lang w:val="zh-TW" w:eastAsia="zh-TW"/>
        </w:rPr>
        <w:t>金保</w:t>
      </w:r>
      <w:r>
        <w:rPr>
          <w:rFonts w:hint="eastAsia" w:ascii="仿宋_GB2312" w:eastAsia="仿宋_GB2312"/>
          <w:color w:val="000000"/>
          <w:sz w:val="32"/>
          <w:szCs w:val="32"/>
          <w:lang w:val="zh-TW"/>
        </w:rPr>
        <w:t>工程</w:t>
      </w:r>
      <w:r>
        <w:rPr>
          <w:rFonts w:hint="eastAsia" w:ascii="仿宋_GB2312" w:eastAsia="仿宋_GB2312"/>
          <w:color w:val="000000"/>
          <w:sz w:val="32"/>
          <w:szCs w:val="32"/>
          <w:lang w:val="zh-TW" w:eastAsia="zh-TW"/>
        </w:rPr>
        <w:t>二期人社一体化系统社会保险版块开发建设</w:t>
      </w:r>
      <w:r>
        <w:rPr>
          <w:rFonts w:hint="eastAsia" w:ascii="仿宋_GB2312" w:eastAsia="仿宋_GB2312"/>
          <w:color w:val="000000"/>
          <w:sz w:val="32"/>
          <w:szCs w:val="32"/>
          <w:lang w:val="zh-TW"/>
        </w:rPr>
        <w:t>、</w:t>
      </w:r>
      <w:r>
        <w:rPr>
          <w:rFonts w:hint="eastAsia" w:ascii="仿宋_GB2312" w:eastAsia="仿宋_GB2312"/>
          <w:sz w:val="32"/>
          <w:szCs w:val="32"/>
        </w:rPr>
        <w:t>部分功能上线试点运行工作，召开全区操作培训视频会，印发上线试点运行通知，建立了“社保系统切换联络群”，</w:t>
      </w:r>
      <w:r>
        <w:rPr>
          <w:rFonts w:hint="eastAsia" w:ascii="仿宋_GB2312" w:eastAsia="仿宋_GB2312"/>
          <w:sz w:val="32"/>
          <w:szCs w:val="32"/>
          <w:lang w:bidi="ar"/>
        </w:rPr>
        <w:t>全处参与、分市服务，对全区社保经办机构加强培训指导</w:t>
      </w:r>
      <w:r>
        <w:rPr>
          <w:rFonts w:hint="eastAsia" w:ascii="仿宋_GB2312" w:eastAsia="仿宋_GB2312"/>
          <w:sz w:val="32"/>
          <w:szCs w:val="32"/>
        </w:rPr>
        <w:t>。</w:t>
      </w:r>
      <w:r>
        <w:rPr>
          <w:rFonts w:hint="eastAsia" w:ascii="仿宋_GB2312" w:eastAsia="仿宋_GB2312"/>
          <w:b/>
          <w:bCs/>
          <w:sz w:val="32"/>
          <w:szCs w:val="32"/>
        </w:rPr>
        <w:t>六是</w:t>
      </w:r>
      <w:r>
        <w:rPr>
          <w:rFonts w:hint="eastAsia" w:ascii="仿宋_GB2312" w:eastAsia="仿宋_GB2312"/>
          <w:sz w:val="32"/>
          <w:szCs w:val="32"/>
        </w:rPr>
        <w:t>落实社保基金管理风险排查专项整治，</w:t>
      </w:r>
      <w:r>
        <w:rPr>
          <w:rFonts w:hint="eastAsia" w:ascii="仿宋_GB2312" w:eastAsia="仿宋_GB2312"/>
          <w:sz w:val="32"/>
          <w:szCs w:val="32"/>
          <w:lang w:bidi="ar"/>
        </w:rPr>
        <w:t>赴基层开展调研督导，排查并分析解决信息系统方面问题，先后提取112万条疑点数据转局监控处下发全区排查，堵塞违规参保、违规领取社保待遇风险漏洞。</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二、社会保障卡建设情况</w:t>
      </w:r>
    </w:p>
    <w:p>
      <w:pPr>
        <w:spacing w:line="560" w:lineRule="exact"/>
        <w:ind w:firstLine="643" w:firstLineChars="200"/>
        <w:rPr>
          <w:rFonts w:ascii="仿宋_GB2312" w:eastAsia="仿宋_GB2312"/>
          <w:sz w:val="32"/>
          <w:szCs w:val="32"/>
        </w:rPr>
      </w:pPr>
      <w:r>
        <w:rPr>
          <w:rFonts w:hint="eastAsia" w:ascii="楷体_GB2312" w:eastAsia="楷体_GB2312"/>
          <w:b/>
          <w:sz w:val="32"/>
        </w:rPr>
        <w:t>（一）社保卡金融功能激活情况。</w:t>
      </w:r>
      <w:r>
        <w:rPr>
          <w:rFonts w:hint="eastAsia" w:ascii="仿宋_GB2312" w:eastAsia="仿宋_GB2312"/>
          <w:sz w:val="32"/>
          <w:szCs w:val="32"/>
        </w:rPr>
        <w:t>截至2021年12月底，全区累计制发社保卡 714.68  万张，覆盖99.22 %的户籍人口，基本人手一卡。各联名银行中, 黄河银行制发卡最多,为540.64 万张；其次为宁夏银行，累计制发卡    万张；其余6 家联名银行分别为:中国银行 17.00万张,农业银行26.07 万张,工商银行 26.07 万张,建设银行 34.12 万张,中信银行2.16 万张,招商银行 2.84万张。</w:t>
      </w:r>
    </w:p>
    <w:p>
      <w:pPr>
        <w:jc w:val="center"/>
        <w:rPr>
          <w:rFonts w:ascii="仿宋_GB2312" w:eastAsia="仿宋_GB2312"/>
          <w:sz w:val="30"/>
          <w:szCs w:val="30"/>
        </w:rPr>
      </w:pPr>
      <w:r>
        <w:rPr>
          <w:rFonts w:hint="eastAsia" w:ascii="仿宋_GB2312" w:eastAsia="仿宋_GB2312"/>
          <w:sz w:val="30"/>
          <w:szCs w:val="30"/>
        </w:rPr>
        <w:drawing>
          <wp:inline distT="0" distB="0" distL="0" distR="0">
            <wp:extent cx="5559425" cy="3100705"/>
            <wp:effectExtent l="19050" t="19050" r="22225" b="23495"/>
            <wp:docPr id="6" name="图片 6" descr="C:\Users\zl\AppData\Local\Temp\16518202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zl\AppData\Local\Temp\1651820239(1).png"/>
                    <pic:cNvPicPr>
                      <a:picLocks noChangeAspect="1" noChangeArrowheads="1"/>
                    </pic:cNvPicPr>
                  </pic:nvPicPr>
                  <pic:blipFill>
                    <a:blip r:embed="rId52">
                      <a:extLst>
                        <a:ext uri="{28A0092B-C50C-407E-A947-70E740481C1C}">
                          <a14:useLocalDpi xmlns:a14="http://schemas.microsoft.com/office/drawing/2010/main" val="0"/>
                        </a:ext>
                      </a:extLst>
                    </a:blip>
                    <a:srcRect l="643" t="9953" r="1584" b="588"/>
                    <a:stretch>
                      <a:fillRect/>
                    </a:stretch>
                  </pic:blipFill>
                  <pic:spPr>
                    <a:xfrm>
                      <a:off x="0" y="0"/>
                      <a:ext cx="5573830" cy="3109065"/>
                    </a:xfrm>
                    <a:prstGeom prst="rect">
                      <a:avLst/>
                    </a:prstGeom>
                    <a:noFill/>
                    <a:ln w="9525">
                      <a:solidFill>
                        <a:schemeClr val="tx1"/>
                      </a:solid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图6-4  2021年社保卡联名银行累计发卡数量</w:t>
      </w:r>
    </w:p>
    <w:p>
      <w:pPr>
        <w:spacing w:line="560" w:lineRule="exact"/>
        <w:rPr>
          <w:rFonts w:ascii="仿宋_GB2312" w:eastAsia="仿宋_GB2312"/>
          <w:sz w:val="32"/>
          <w:szCs w:val="32"/>
        </w:rPr>
      </w:pPr>
      <w:r>
        <w:rPr>
          <w:rFonts w:hint="eastAsia" w:ascii="仿宋_GB2312" w:eastAsia="仿宋_GB2312"/>
          <w:sz w:val="32"/>
          <w:szCs w:val="32"/>
        </w:rPr>
        <w:t xml:space="preserve">    截至2021年12月底，全区社保卡累计激活金融功能495.19万张，激活率69.29%，同比增长 10.23%。黄河银行、宁夏银行、建设银行、农业银行、中国银行、工商银行、招商银行累计激活率较2020年同期均有所提高。其中黄河银行激活金融功能360.24万张，激活率66.63%，同比增长3.99%；宁夏银行激活金融功能47.69万张，激活率75.92%，同比增长12.07%；建设银行激活金融功能35.66万张，激活率63.7%，同比增长2.58%；农业银行激活金融功能24.75万张，激活率81%，同比增长0.30%；中国银行激活金融功能11.43万张，激活率63.10%，同比增长3.10%；工商银行激活金融功能11.83万张，激活率41.71%，同比增长了3.41%；招商银行激活金融功能2.05万张，激活率66%，同比增长6.30%。中信银行激活金融功能1.54万张，激活率71 %，同比减少38%。</w:t>
      </w:r>
    </w:p>
    <w:p>
      <w:pPr>
        <w:spacing w:line="360" w:lineRule="auto"/>
        <w:rPr>
          <w:rFonts w:ascii="仿宋_GB2312" w:eastAsia="仿宋_GB2312"/>
          <w:sz w:val="32"/>
        </w:rPr>
      </w:pPr>
      <w:r>
        <w:rPr>
          <w:rFonts w:hint="eastAsia" w:ascii="仿宋_GB2312" w:eastAsia="仿宋_GB2312"/>
          <w:sz w:val="32"/>
        </w:rPr>
        <w:drawing>
          <wp:inline distT="0" distB="0" distL="114300" distR="114300">
            <wp:extent cx="5647055" cy="3431540"/>
            <wp:effectExtent l="0" t="0" r="10795" b="16510"/>
            <wp:docPr id="26" name="图片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jc w:val="center"/>
        <w:rPr>
          <w:rFonts w:ascii="仿宋_GB2312" w:eastAsia="仿宋_GB2312"/>
          <w:sz w:val="28"/>
          <w:szCs w:val="28"/>
        </w:rPr>
      </w:pPr>
      <w:r>
        <w:rPr>
          <w:rFonts w:hint="eastAsia" w:ascii="仿宋_GB2312" w:eastAsia="仿宋_GB2312"/>
          <w:sz w:val="28"/>
          <w:szCs w:val="28"/>
        </w:rPr>
        <w:t>图6-5：全区社保卡分银行制发卡及功能激活情况</w:t>
      </w:r>
    </w:p>
    <w:p>
      <w:pPr>
        <w:spacing w:line="600" w:lineRule="exact"/>
        <w:ind w:firstLine="643" w:firstLineChars="200"/>
        <w:jc w:val="left"/>
        <w:rPr>
          <w:rFonts w:ascii="仿宋_GB2312" w:eastAsia="仿宋_GB2312"/>
          <w:sz w:val="32"/>
          <w:szCs w:val="32"/>
        </w:rPr>
      </w:pPr>
      <w:r>
        <w:rPr>
          <w:rFonts w:hint="eastAsia" w:ascii="楷体_GB2312" w:eastAsia="楷体_GB2312"/>
          <w:b/>
          <w:sz w:val="32"/>
          <w:szCs w:val="32"/>
        </w:rPr>
        <w:t>（二）全区社保卡金融惠民情况。</w:t>
      </w:r>
      <w:r>
        <w:rPr>
          <w:rFonts w:hint="eastAsia" w:ascii="仿宋_GB2312" w:eastAsia="仿宋_GB2312"/>
          <w:sz w:val="32"/>
          <w:szCs w:val="32"/>
        </w:rPr>
        <w:t>根据自治区社保局与联名银行签订的社保金融惠民协议规定，自2016年6月1日起，联名银行每月为本行社保卡持卡人免收不少于 笔的ATM机跨行取款业务手续费。统计数据显示，截至2021年12月底，社保卡ATM机跨行取款累计发生341.53万笔，较上期增长6.1%；累计取款56.15亿元，较上期增长7.01%；累计免收4543.19万元手续费，较上期增长3.4%。</w:t>
      </w:r>
    </w:p>
    <w:p>
      <w:pPr>
        <w:spacing w:line="600" w:lineRule="exact"/>
        <w:ind w:firstLine="640" w:firstLineChars="200"/>
        <w:rPr>
          <w:rFonts w:ascii="仿宋_GB2312" w:eastAsia="仿宋_GB2312"/>
          <w:sz w:val="32"/>
          <w:szCs w:val="32"/>
        </w:rPr>
      </w:pPr>
    </w:p>
    <w:p>
      <w:pPr>
        <w:spacing w:line="600" w:lineRule="exact"/>
        <w:ind w:firstLine="640" w:firstLineChars="200"/>
        <w:rPr>
          <w:rFonts w:ascii="仿宋_GB2312" w:eastAsia="仿宋_GB2312"/>
          <w:sz w:val="32"/>
          <w:szCs w:val="32"/>
        </w:rPr>
      </w:pPr>
    </w:p>
    <w:p>
      <w:pPr>
        <w:spacing w:line="600" w:lineRule="exact"/>
        <w:ind w:firstLine="640" w:firstLineChars="200"/>
        <w:rPr>
          <w:rFonts w:ascii="仿宋_GB2312" w:eastAsia="仿宋_GB2312"/>
          <w:sz w:val="32"/>
          <w:szCs w:val="32"/>
        </w:rPr>
      </w:pPr>
    </w:p>
    <w:p>
      <w:pPr>
        <w:spacing w:line="600" w:lineRule="exact"/>
        <w:ind w:firstLine="640" w:firstLineChars="200"/>
        <w:rPr>
          <w:rFonts w:ascii="仿宋_GB2312" w:eastAsia="仿宋_GB2312"/>
          <w:sz w:val="32"/>
          <w:szCs w:val="32"/>
        </w:rPr>
      </w:pP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1.社保卡ATM机跨行取款笔数。</w:t>
      </w:r>
      <w:r>
        <w:rPr>
          <w:rFonts w:hint="eastAsia" w:ascii="仿宋_GB2312" w:eastAsia="仿宋_GB2312"/>
          <w:sz w:val="32"/>
          <w:szCs w:val="32"/>
        </w:rPr>
        <w:t>2021年全区社保卡联名银行ATM机取款笔数增速总体呈下降趋势。</w:t>
      </w:r>
    </w:p>
    <w:p>
      <w:pPr>
        <w:rPr>
          <w:rFonts w:ascii="仿宋_GB2312" w:eastAsia="仿宋_GB2312"/>
          <w:b/>
          <w:sz w:val="32"/>
          <w:szCs w:val="32"/>
        </w:rPr>
      </w:pPr>
      <w:r>
        <w:rPr>
          <w:rFonts w:hint="eastAsia" w:ascii="仿宋_GB2312" w:eastAsia="仿宋_GB2312"/>
          <w:b/>
          <w:sz w:val="32"/>
          <w:szCs w:val="32"/>
        </w:rPr>
        <w:drawing>
          <wp:inline distT="0" distB="0" distL="0" distR="0">
            <wp:extent cx="5688330" cy="3054350"/>
            <wp:effectExtent l="19050" t="19050" r="26670" b="12700"/>
            <wp:docPr id="27" name="图片 27" descr="C:\Users\zl\AppData\Local\Temp\16518937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zl\AppData\Local\Temp\1651893793(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5688330" cy="3054585"/>
                    </a:xfrm>
                    <a:prstGeom prst="rect">
                      <a:avLst/>
                    </a:prstGeom>
                    <a:noFill/>
                    <a:ln w="9525">
                      <a:solidFill>
                        <a:schemeClr val="tx1"/>
                      </a:solid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图6-6：全区社保卡ATM跨行取款业务增长情况</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截至2021年12月底，宁夏银行累计取款140.83万笔，较上期增长5.94%；黄河银行累计取款126.65万笔，较上期增长6.41%；工商银行累计取款19.86万笔，较上期增长10.76%；农业银行累计取款19.64万笔，较上期增长0.05%；中国银行累计取13.57万笔，较上期增长2.04%；招商银行累计取款12.37万笔，较上期增长6.8%；建设银行累计取款6.15万笔，较上期增长 11.21%；中信银行累计取款1.45万笔，较上期增长16%。</w:t>
      </w: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2.社保卡ATM机跨行取款金额情况。</w:t>
      </w:r>
      <w:r>
        <w:rPr>
          <w:rFonts w:hint="eastAsia" w:ascii="仿宋_GB2312" w:eastAsia="仿宋_GB2312"/>
          <w:sz w:val="32"/>
          <w:szCs w:val="32"/>
        </w:rPr>
        <w:t xml:space="preserve">2021年社保卡联名银行ATM机取款金额增速总体趋缓，部分银行年末反弹猛增。 </w:t>
      </w:r>
    </w:p>
    <w:p>
      <w:pPr>
        <w:spacing w:line="360" w:lineRule="auto"/>
        <w:rPr>
          <w:rFonts w:ascii="仿宋_GB2312" w:eastAsia="仿宋_GB2312"/>
          <w:sz w:val="32"/>
          <w:szCs w:val="32"/>
        </w:rPr>
      </w:pPr>
      <w:r>
        <w:rPr>
          <w:rFonts w:hint="eastAsia" w:ascii="仿宋_GB2312" w:eastAsia="仿宋_GB2312"/>
          <w:sz w:val="32"/>
          <w:szCs w:val="32"/>
        </w:rPr>
        <w:drawing>
          <wp:inline distT="0" distB="0" distL="0" distR="0">
            <wp:extent cx="5688330" cy="3139440"/>
            <wp:effectExtent l="19050" t="19050" r="26670" b="22860"/>
            <wp:docPr id="7" name="图片 7" descr="C:\Users\zl\AppData\Local\Temp\16518938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zl\AppData\Local\Temp\1651893859(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688330" cy="3139508"/>
                    </a:xfrm>
                    <a:prstGeom prst="rect">
                      <a:avLst/>
                    </a:prstGeom>
                    <a:noFill/>
                    <a:ln w="12700">
                      <a:solidFill>
                        <a:schemeClr val="tx1"/>
                      </a:solid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图6-7：2021年全区社保卡ATM取款金额增长速度</w:t>
      </w:r>
    </w:p>
    <w:p>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宁夏银行累计取款32.09亿元，较上期增长6.37%；黄河银行累计取款14.03亿元，较上期增长8.14%；工商银行累计取款2.83亿元，较上期增长22.01%；中国银行累计取款2.77亿元，较上期增长2.82%；招商银行累计取款2.60亿元，较上期增长8.23%；建设银行累计取款1.10亿元，较上期增长10.98%；中信银行累计取款0.39亿元，较上期增长36%。农业银行累计取款0.34亿元，较上期增长0.02%。</w:t>
      </w:r>
    </w:p>
    <w:p>
      <w:pPr>
        <w:spacing w:line="560" w:lineRule="exact"/>
        <w:ind w:firstLine="640" w:firstLineChars="200"/>
        <w:jc w:val="left"/>
        <w:rPr>
          <w:rFonts w:ascii="仿宋_GB2312" w:eastAsia="仿宋_GB2312"/>
          <w:sz w:val="32"/>
          <w:szCs w:val="32"/>
        </w:rPr>
      </w:pPr>
    </w:p>
    <w:p>
      <w:pPr>
        <w:spacing w:line="560" w:lineRule="exact"/>
        <w:ind w:firstLine="640" w:firstLineChars="200"/>
        <w:jc w:val="left"/>
        <w:rPr>
          <w:rFonts w:ascii="仿宋_GB2312" w:eastAsia="仿宋_GB2312"/>
          <w:sz w:val="32"/>
          <w:szCs w:val="32"/>
        </w:rPr>
      </w:pPr>
    </w:p>
    <w:p>
      <w:pPr>
        <w:spacing w:line="560" w:lineRule="exact"/>
        <w:ind w:firstLine="640" w:firstLineChars="200"/>
        <w:jc w:val="left"/>
        <w:rPr>
          <w:rFonts w:ascii="仿宋_GB2312" w:eastAsia="仿宋_GB2312"/>
          <w:sz w:val="32"/>
          <w:szCs w:val="32"/>
        </w:rPr>
      </w:pPr>
    </w:p>
    <w:p>
      <w:pPr>
        <w:spacing w:line="560" w:lineRule="exact"/>
        <w:ind w:firstLine="600" w:firstLineChars="200"/>
        <w:jc w:val="left"/>
        <w:rPr>
          <w:rFonts w:ascii="仿宋_GB2312" w:eastAsia="仿宋_GB2312"/>
          <w:sz w:val="30"/>
          <w:szCs w:val="30"/>
        </w:rPr>
      </w:pP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3.社保卡ATM机跨行取款免收手续费情况。</w:t>
      </w:r>
      <w:r>
        <w:rPr>
          <w:rFonts w:hint="eastAsia" w:ascii="仿宋_GB2312" w:eastAsia="仿宋_GB2312"/>
          <w:sz w:val="32"/>
          <w:szCs w:val="32"/>
        </w:rPr>
        <w:t>2021年社保卡联名银行ATM机取款免收手续费增速总体呈下降趋势。</w:t>
      </w:r>
    </w:p>
    <w:p>
      <w:pPr>
        <w:spacing w:line="360" w:lineRule="auto"/>
        <w:rPr>
          <w:rFonts w:ascii="仿宋_GB2312" w:eastAsia="仿宋_GB2312"/>
          <w:sz w:val="32"/>
          <w:szCs w:val="32"/>
        </w:rPr>
      </w:pPr>
      <w:r>
        <w:rPr>
          <w:rFonts w:hint="eastAsia" w:ascii="仿宋_GB2312" w:eastAsia="仿宋_GB2312"/>
          <w:sz w:val="32"/>
          <w:szCs w:val="32"/>
        </w:rPr>
        <w:drawing>
          <wp:inline distT="0" distB="0" distL="0" distR="0">
            <wp:extent cx="5688330" cy="2999740"/>
            <wp:effectExtent l="19050" t="19050" r="26670" b="10160"/>
            <wp:docPr id="8" name="图片 8" descr="C:\Users\zl\AppData\Local\Temp\16519072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zl\AppData\Local\Temp\1651907297(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5688330" cy="3000170"/>
                    </a:xfrm>
                    <a:prstGeom prst="rect">
                      <a:avLst/>
                    </a:prstGeom>
                    <a:noFill/>
                    <a:ln w="9525">
                      <a:solidFill>
                        <a:schemeClr val="tx1"/>
                      </a:solidFill>
                    </a:ln>
                  </pic:spPr>
                </pic:pic>
              </a:graphicData>
            </a:graphic>
          </wp:inline>
        </w:drawing>
      </w:r>
    </w:p>
    <w:p>
      <w:pPr>
        <w:jc w:val="center"/>
        <w:rPr>
          <w:rFonts w:ascii="仿宋_GB2312" w:eastAsia="仿宋_GB2312"/>
          <w:sz w:val="28"/>
          <w:szCs w:val="28"/>
        </w:rPr>
      </w:pPr>
      <w:r>
        <w:rPr>
          <w:rFonts w:hint="eastAsia" w:ascii="仿宋_GB2312" w:eastAsia="仿宋_GB2312"/>
          <w:sz w:val="28"/>
          <w:szCs w:val="28"/>
        </w:rPr>
        <w:t>图6-8：全区社保卡ATM免收手续费增长速度</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宁夏银行累计免收2756.49万元手续费，较上期增长1.01%；黄河银行累计免收手续1549.07万元，较上期增长7.44%；工商银行累计免收手续费69.52万元，较上期增长10.87%；中国银行累计免收手续费54.28万元，较上期增长2.04%；招商银行累计免收手续费49.48万元，较上期增长7.20%；农业银行累计免收手续费34.7万元，较上期增长0.06%；建设银行累计免收手续费20.40万元，较上期增长10.21%；中信银行累计免收手续费7.25万元，较上期增长16%。</w:t>
      </w:r>
    </w:p>
    <w:p>
      <w:pPr>
        <w:spacing w:line="600" w:lineRule="exact"/>
        <w:ind w:firstLine="660"/>
        <w:rPr>
          <w:rFonts w:ascii="仿宋_GB2312" w:eastAsia="仿宋_GB2312"/>
          <w:sz w:val="32"/>
          <w:szCs w:val="32"/>
        </w:rPr>
      </w:pPr>
    </w:p>
    <w:p>
      <w:pPr>
        <w:spacing w:line="600" w:lineRule="exact"/>
        <w:ind w:firstLine="660"/>
        <w:rPr>
          <w:rFonts w:ascii="仿宋_GB2312" w:eastAsia="仿宋_GB2312"/>
          <w:sz w:val="32"/>
          <w:szCs w:val="32"/>
        </w:rPr>
      </w:pPr>
    </w:p>
    <w:p>
      <w:pPr>
        <w:spacing w:line="600" w:lineRule="exact"/>
        <w:ind w:firstLine="660"/>
        <w:rPr>
          <w:rFonts w:ascii="仿宋_GB2312" w:eastAsia="仿宋_GB2312"/>
          <w:sz w:val="32"/>
          <w:szCs w:val="32"/>
        </w:rPr>
      </w:pPr>
    </w:p>
    <w:p>
      <w:pPr>
        <w:spacing w:line="600" w:lineRule="exact"/>
        <w:jc w:val="center"/>
        <w:rPr>
          <w:rFonts w:ascii="黑体" w:hAnsi="黑体" w:eastAsia="黑体" w:cs="黑体"/>
          <w:sz w:val="32"/>
          <w:szCs w:val="32"/>
        </w:rPr>
      </w:pPr>
      <w:r>
        <w:rPr>
          <w:rFonts w:hint="eastAsia" w:ascii="黑体" w:hAnsi="黑体" w:eastAsia="黑体" w:cs="黑体"/>
          <w:sz w:val="32"/>
          <w:szCs w:val="32"/>
        </w:rPr>
        <w:t>第七部分</w:t>
      </w:r>
      <w:r>
        <w:rPr>
          <w:rFonts w:ascii="黑体" w:hAnsi="黑体" w:eastAsia="黑体" w:cs="黑体"/>
          <w:sz w:val="32"/>
          <w:szCs w:val="32"/>
        </w:rPr>
        <w:t xml:space="preserve">   </w:t>
      </w:r>
      <w:r>
        <w:rPr>
          <w:rFonts w:hint="eastAsia" w:ascii="黑体" w:hAnsi="黑体" w:eastAsia="黑体" w:cs="黑体"/>
          <w:sz w:val="32"/>
          <w:szCs w:val="32"/>
        </w:rPr>
        <w:t>2021年社会保险重要文件目录</w:t>
      </w:r>
    </w:p>
    <w:p>
      <w:pPr>
        <w:spacing w:line="600" w:lineRule="exact"/>
        <w:ind w:firstLine="640" w:firstLineChars="200"/>
        <w:rPr>
          <w:rFonts w:ascii="仿宋_GB2312" w:eastAsia="仿宋_GB2312"/>
          <w:sz w:val="32"/>
          <w:szCs w:val="32"/>
        </w:rPr>
      </w:pPr>
    </w:p>
    <w:p>
      <w:pPr>
        <w:spacing w:line="600" w:lineRule="exact"/>
        <w:ind w:firstLine="640" w:firstLineChars="200"/>
        <w:rPr>
          <w:rFonts w:ascii="黑体" w:hAnsi="黑体" w:eastAsia="黑体"/>
          <w:color w:val="FF0000"/>
          <w:sz w:val="32"/>
          <w:szCs w:val="32"/>
        </w:rPr>
      </w:pPr>
      <w:r>
        <w:rPr>
          <w:rFonts w:hint="eastAsia" w:ascii="黑体" w:hAnsi="黑体" w:eastAsia="黑体"/>
          <w:color w:val="FF0000"/>
          <w:sz w:val="32"/>
          <w:szCs w:val="32"/>
        </w:rPr>
        <w:t>一、自治区人力资</w:t>
      </w:r>
      <w:r>
        <w:rPr>
          <w:rFonts w:hint="eastAsia" w:ascii="黑体" w:hAnsi="黑体" w:eastAsia="黑体"/>
          <w:color w:val="FF0000"/>
          <w:sz w:val="32"/>
          <w:szCs w:val="32"/>
        </w:rPr>
        <w:t>后呈一把</w:t>
      </w:r>
      <w:r>
        <w:rPr>
          <w:rFonts w:hint="eastAsia" w:ascii="黑体" w:hAnsi="黑体" w:eastAsia="黑体"/>
          <w:color w:val="FF0000"/>
          <w:sz w:val="32"/>
          <w:szCs w:val="32"/>
        </w:rPr>
        <w:t>源社会保障厅文件</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1.自治区人力资源和社会保障厅印发关于进一步优化人社公共服务切实解决老年人运用智能技术困难实施方案的通知(宁人社发〔2021〕17号)</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2.自治区人力资源和社会保障厅关于印发“人社服务快办行动”（企业与员工解除终止劳动合同）经办流程和办事指南的通知</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3.自治区人力资源和社会保障厅关于印发“人社服务快办行动”（退休人员过世）经办流程和办事指南的通知</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4.自治区人力资源和社会保障厅关于印发“人社服务快办行动”（企业招用员工）经办流程和办事指南的通知</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5.自治区人力资源和社会保障厅办公室关于印发自治区推进创新驱动战略2021年重点任务分工方案落实台账的通知</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6.自治区人力资源和社会保障厅关于印发“人社服务快办行动”（申领工亡人员有关待遇）经办流程和办事指南的通知</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7.自治区人力资源和社会保障厅关于印发“人社服务快办行动”（高校毕业生就业〈含灵活就业〉）经办流程和办事指南的通知</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8.自治区人力资源和社会保障厅关于印发2021年全区人力资源社会保障“放管服”改革和优化营商环境工作要点的通知(宁人社函〔2021〕118号)</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9.自治区人力资源和社会保障厅办公室关于印发宁夏技工教育职责分工的通知(宁人社办函〔2021〕8号)</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10.自治区人力资源和社会保障厅关于印发2021年度家政服务劳务对接助力乡村振兴行动方案的通知(宁人社函〔2021〕191号)</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11.自治区人力资源和社会保障厅办公室关于印发红寺堡区创建全国易地搬移民致富提升示范区实施方案任务分工的通知</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12.自治区人力资源和社会保障厅关于印发全区事业单位人事管理“一件事”改革工作方案的通知(宁人社函〔2021〕256号)</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13.自治区人力资源和社会保障厅办公室关于印发深化新发展阶段闽宁协作工作意见任务分工的通知</w:t>
      </w:r>
    </w:p>
    <w:p>
      <w:pPr>
        <w:spacing w:line="600" w:lineRule="exact"/>
        <w:ind w:firstLine="640" w:firstLineChars="200"/>
        <w:rPr>
          <w:rFonts w:ascii="仿宋_GB2312" w:eastAsia="仿宋_GB2312"/>
          <w:sz w:val="32"/>
          <w:szCs w:val="32"/>
        </w:rPr>
      </w:pPr>
      <w:r>
        <w:rPr>
          <w:rFonts w:hint="eastAsia" w:ascii="仿宋_GB2312" w:eastAsia="仿宋_GB2312"/>
          <w:sz w:val="32"/>
          <w:szCs w:val="32"/>
        </w:rPr>
        <w:t>14.自治区人力资源和社会保障厅关于印发全区人力资源社会保障系统开展“证照分离”改革全覆盖实施方案的通知(宁人社发〔2021〕120号)</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二、自治区社保局文件</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1.自治区社保局进一步优化社保公共服务切实解决老年人运用智能技术困难实施方案</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2.自治区社保局关于2021年一次性工亡补助金核定基数的通知 (宁社保函〔2021〕3号)</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3.自治区社保局关于做好全区工伤保险异地就医即时结算协议医疗机构信息公开工作的通知（宁社保函〔2021〕9号）</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4.自治区社保局关于印发《宁夏社会保险经办有关事项“跨省通办”实施方案》的通知（宁社保函〔2021〕9号）</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5.自治区社保局工伤保险医疗服务协议范本（宁社保函〔2021〕12号）</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6.自治区社保局关于公布全区工伤保险异地就医即时结算协议医疗机构名单的通知 (宁社保函〔2021〕13号 )</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7.自治区社保局关于做好机关事业单位养老保险制度改革前已退休试点合并人员个人缴费处理经办工作的通知（宁社保函〔2021〕24号）</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8.自治区社保局关于开展国有企业退休人员人事档案规范化整理和数字化工作试点的批复（宁社保函〔2021〕28号）</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9.宁夏回族自治区基本养老保险待遇及代发资金集中统一支付规程</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10.自治区社保局关于进一步做好社保基金管理问题专项整治工作的通知（宁社保函〔2021〕45号）</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11.自治区社保局关于印发《社会保险经办服务事项政务公开清单目录（区本级）》的通知（宁社保函〔2021〕53号）</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12.</w:t>
      </w:r>
      <w:r>
        <w:rPr>
          <w:rFonts w:hint="eastAsia" w:ascii="仿宋_GB2312" w:eastAsia="仿宋_GB2312"/>
        </w:rPr>
        <w:t xml:space="preserve"> </w:t>
      </w:r>
      <w:r>
        <w:rPr>
          <w:rFonts w:hint="eastAsia" w:ascii="仿宋_GB2312" w:eastAsia="仿宋_GB2312"/>
          <w:sz w:val="32"/>
          <w:szCs w:val="32"/>
        </w:rPr>
        <w:t>自治区社保局关于进一步加强社保经办系统工作人员政策业务培训及风险管理警示教育的通知（宁社保函〔2021〕58号）</w:t>
      </w:r>
    </w:p>
    <w:sectPr>
      <w:footerReference r:id="rId4" w:type="default"/>
      <w:pgSz w:w="11906" w:h="16838"/>
      <w:pgMar w:top="1985" w:right="1474" w:bottom="1588" w:left="1474"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script"/>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方正小标宋_GBK">
    <w:altName w:val="Arial Unicode MS"/>
    <w:panose1 w:val="03000509000000000000"/>
    <w:charset w:val="86"/>
    <w:family w:val="script"/>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ZKTK--GBK1-0">
    <w:altName w:val="仿宋"/>
    <w:panose1 w:val="00000000000000000000"/>
    <w:charset w:val="00"/>
    <w:family w:val="auto"/>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sz w:val="28"/>
      </w:rPr>
    </w:pPr>
    <w:r>
      <w:rPr>
        <w:sz w:val="28"/>
      </w:rPr>
      <w:fldChar w:fldCharType="begin"/>
    </w:r>
    <w:r>
      <w:rPr>
        <w:sz w:val="28"/>
      </w:rPr>
      <w:instrText xml:space="preserve"> PAGE   \* MERGEFORMAT </w:instrText>
    </w:r>
    <w:r>
      <w:rPr>
        <w:sz w:val="28"/>
      </w:rPr>
      <w:fldChar w:fldCharType="separate"/>
    </w:r>
    <w:r>
      <w:rPr>
        <w:sz w:val="28"/>
        <w:lang w:val="zh-CN"/>
      </w:rPr>
      <w:t>-</w:t>
    </w:r>
    <w:r>
      <w:rPr>
        <w:sz w:val="28"/>
      </w:rPr>
      <w:t xml:space="preserve"> 38 -</w:t>
    </w:r>
    <w:r>
      <w:rPr>
        <w:sz w:val="28"/>
      </w:rPr>
      <w:fldChar w:fldCharType="end"/>
    </w:r>
  </w:p>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r>
        <w:rPr>
          <w:rStyle w:val="22"/>
        </w:rPr>
        <w:footnoteRef/>
      </w:r>
      <w:r>
        <w:t xml:space="preserve"> </w:t>
      </w:r>
      <w:r>
        <w:rPr>
          <w:rFonts w:hint="eastAsia"/>
        </w:rPr>
        <w:t>其他人员：指城镇个体工商户、灵活就业人员等以个人身份参加城镇企业职工基本养老保险的人员</w:t>
      </w:r>
      <w:r>
        <w:t xml:space="preserve">, </w:t>
      </w:r>
      <w:r>
        <w:rPr>
          <w:rFonts w:hint="eastAsia"/>
        </w:rPr>
        <w:t>下同。</w:t>
      </w:r>
    </w:p>
  </w:footnote>
  <w:footnote w:id="1">
    <w:p>
      <w:r>
        <w:rPr>
          <w:rStyle w:val="22"/>
        </w:rPr>
        <w:footnoteRef/>
      </w:r>
      <w:r>
        <w:rPr>
          <w:rFonts w:hint="eastAsia" w:ascii="宋体" w:hAnsi="宋体" w:cs="FZKTK--GBK1-0"/>
          <w:color w:val="000000"/>
          <w:kern w:val="0"/>
          <w:szCs w:val="21"/>
        </w:rPr>
        <w:t>抚养比：指参保职工人数与领取养老保险待遇人数的比值。</w:t>
      </w:r>
    </w:p>
  </w:footnote>
  <w:footnote w:id="2">
    <w:p>
      <w:r>
        <w:rPr>
          <w:rStyle w:val="22"/>
        </w:rPr>
        <w:footnoteRef/>
      </w:r>
      <w:r>
        <w:rPr>
          <w:rFonts w:hint="eastAsia" w:ascii="宋体" w:hAnsi="宋体" w:cs="FZKTK--GBK1-0"/>
          <w:color w:val="000000"/>
          <w:kern w:val="0"/>
          <w:szCs w:val="21"/>
        </w:rPr>
        <w:t>替代率：指人均基本养老金与人均缴费基数之比。</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68790"/>
    <w:multiLevelType w:val="singleLevel"/>
    <w:tmpl w:val="02C68790"/>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dit="readOnly"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E2ZjFlNThmNGVjNDdkODM1OTY1YzllOWE0MjEyZTAifQ=="/>
    <w:docVar w:name="KGWebUrl" w:val="http://10.231.53.46:80/seeyon/officeservlet"/>
  </w:docVars>
  <w:rsids>
    <w:rsidRoot w:val="007A2453"/>
    <w:rsid w:val="000005B8"/>
    <w:rsid w:val="00001270"/>
    <w:rsid w:val="0000292F"/>
    <w:rsid w:val="0000434D"/>
    <w:rsid w:val="000047A7"/>
    <w:rsid w:val="00005448"/>
    <w:rsid w:val="00006B14"/>
    <w:rsid w:val="0001104D"/>
    <w:rsid w:val="000118C0"/>
    <w:rsid w:val="0001215E"/>
    <w:rsid w:val="00013B13"/>
    <w:rsid w:val="00015202"/>
    <w:rsid w:val="00022920"/>
    <w:rsid w:val="00022D95"/>
    <w:rsid w:val="00023DE1"/>
    <w:rsid w:val="00023DE8"/>
    <w:rsid w:val="00024060"/>
    <w:rsid w:val="00025D77"/>
    <w:rsid w:val="000306AC"/>
    <w:rsid w:val="000309EA"/>
    <w:rsid w:val="000315E4"/>
    <w:rsid w:val="00031CAD"/>
    <w:rsid w:val="000322C7"/>
    <w:rsid w:val="00032747"/>
    <w:rsid w:val="00034CE0"/>
    <w:rsid w:val="0003558C"/>
    <w:rsid w:val="00036864"/>
    <w:rsid w:val="00040386"/>
    <w:rsid w:val="000404ED"/>
    <w:rsid w:val="00042664"/>
    <w:rsid w:val="00042FD2"/>
    <w:rsid w:val="00042FDD"/>
    <w:rsid w:val="00044192"/>
    <w:rsid w:val="0004669B"/>
    <w:rsid w:val="00047AE1"/>
    <w:rsid w:val="00050FFA"/>
    <w:rsid w:val="00052733"/>
    <w:rsid w:val="000552DA"/>
    <w:rsid w:val="00056C9A"/>
    <w:rsid w:val="000577F2"/>
    <w:rsid w:val="000610D7"/>
    <w:rsid w:val="0006392D"/>
    <w:rsid w:val="00063A28"/>
    <w:rsid w:val="00064FB0"/>
    <w:rsid w:val="00065A99"/>
    <w:rsid w:val="0006795F"/>
    <w:rsid w:val="0007090D"/>
    <w:rsid w:val="00070DAE"/>
    <w:rsid w:val="000712B2"/>
    <w:rsid w:val="000720ED"/>
    <w:rsid w:val="00074F94"/>
    <w:rsid w:val="000755FB"/>
    <w:rsid w:val="000761C1"/>
    <w:rsid w:val="00076C13"/>
    <w:rsid w:val="000773AB"/>
    <w:rsid w:val="00080DE5"/>
    <w:rsid w:val="000811A4"/>
    <w:rsid w:val="00083332"/>
    <w:rsid w:val="00083DF2"/>
    <w:rsid w:val="000907D7"/>
    <w:rsid w:val="000918EB"/>
    <w:rsid w:val="0009206A"/>
    <w:rsid w:val="000937D0"/>
    <w:rsid w:val="00093960"/>
    <w:rsid w:val="0009451F"/>
    <w:rsid w:val="00094BF2"/>
    <w:rsid w:val="000963DF"/>
    <w:rsid w:val="000969F3"/>
    <w:rsid w:val="00096D33"/>
    <w:rsid w:val="000A05A7"/>
    <w:rsid w:val="000A09CD"/>
    <w:rsid w:val="000A25AE"/>
    <w:rsid w:val="000A5391"/>
    <w:rsid w:val="000B144B"/>
    <w:rsid w:val="000B4CD4"/>
    <w:rsid w:val="000B5CAD"/>
    <w:rsid w:val="000C0CFC"/>
    <w:rsid w:val="000C0E1E"/>
    <w:rsid w:val="000C18F0"/>
    <w:rsid w:val="000C1994"/>
    <w:rsid w:val="000C4418"/>
    <w:rsid w:val="000C4ADA"/>
    <w:rsid w:val="000D0A96"/>
    <w:rsid w:val="000D17DB"/>
    <w:rsid w:val="000D20CD"/>
    <w:rsid w:val="000D3630"/>
    <w:rsid w:val="000D7C3A"/>
    <w:rsid w:val="000E0917"/>
    <w:rsid w:val="000E3798"/>
    <w:rsid w:val="000E3CB6"/>
    <w:rsid w:val="000E5FE3"/>
    <w:rsid w:val="000E6548"/>
    <w:rsid w:val="000F11D0"/>
    <w:rsid w:val="000F2882"/>
    <w:rsid w:val="000F2D24"/>
    <w:rsid w:val="000F3F30"/>
    <w:rsid w:val="000F40E7"/>
    <w:rsid w:val="000F5060"/>
    <w:rsid w:val="000F55B3"/>
    <w:rsid w:val="000F6885"/>
    <w:rsid w:val="000F74B7"/>
    <w:rsid w:val="001026F8"/>
    <w:rsid w:val="00103141"/>
    <w:rsid w:val="00106959"/>
    <w:rsid w:val="00106CCF"/>
    <w:rsid w:val="0010756D"/>
    <w:rsid w:val="001075D8"/>
    <w:rsid w:val="001111AB"/>
    <w:rsid w:val="00113731"/>
    <w:rsid w:val="00115B11"/>
    <w:rsid w:val="00116BDF"/>
    <w:rsid w:val="00117905"/>
    <w:rsid w:val="001205C8"/>
    <w:rsid w:val="001219A6"/>
    <w:rsid w:val="00125529"/>
    <w:rsid w:val="00126C53"/>
    <w:rsid w:val="001315B3"/>
    <w:rsid w:val="00131CDA"/>
    <w:rsid w:val="00131F7E"/>
    <w:rsid w:val="00133210"/>
    <w:rsid w:val="00135359"/>
    <w:rsid w:val="001363C5"/>
    <w:rsid w:val="001418AE"/>
    <w:rsid w:val="001428DE"/>
    <w:rsid w:val="00143046"/>
    <w:rsid w:val="001443CC"/>
    <w:rsid w:val="00144A82"/>
    <w:rsid w:val="001451F6"/>
    <w:rsid w:val="0014653E"/>
    <w:rsid w:val="001532A5"/>
    <w:rsid w:val="00153962"/>
    <w:rsid w:val="00154BA9"/>
    <w:rsid w:val="001577A2"/>
    <w:rsid w:val="00160645"/>
    <w:rsid w:val="0016299E"/>
    <w:rsid w:val="0016362B"/>
    <w:rsid w:val="00163D10"/>
    <w:rsid w:val="00163FC4"/>
    <w:rsid w:val="00164AB1"/>
    <w:rsid w:val="00166381"/>
    <w:rsid w:val="00167C85"/>
    <w:rsid w:val="00171011"/>
    <w:rsid w:val="00172299"/>
    <w:rsid w:val="0017250C"/>
    <w:rsid w:val="00173922"/>
    <w:rsid w:val="0017448B"/>
    <w:rsid w:val="0017656F"/>
    <w:rsid w:val="00176757"/>
    <w:rsid w:val="00176C7C"/>
    <w:rsid w:val="00177608"/>
    <w:rsid w:val="00181133"/>
    <w:rsid w:val="00181683"/>
    <w:rsid w:val="00181BEC"/>
    <w:rsid w:val="0018383E"/>
    <w:rsid w:val="00183FDA"/>
    <w:rsid w:val="00184543"/>
    <w:rsid w:val="00185F73"/>
    <w:rsid w:val="001900CD"/>
    <w:rsid w:val="00191AB4"/>
    <w:rsid w:val="00192B53"/>
    <w:rsid w:val="00193DB5"/>
    <w:rsid w:val="00194D2C"/>
    <w:rsid w:val="0019692D"/>
    <w:rsid w:val="00197A2D"/>
    <w:rsid w:val="00197D6D"/>
    <w:rsid w:val="00197F9D"/>
    <w:rsid w:val="001A08E4"/>
    <w:rsid w:val="001A0FDC"/>
    <w:rsid w:val="001A4B43"/>
    <w:rsid w:val="001A562E"/>
    <w:rsid w:val="001A66A6"/>
    <w:rsid w:val="001A66C2"/>
    <w:rsid w:val="001A6C7B"/>
    <w:rsid w:val="001B3864"/>
    <w:rsid w:val="001B4F4E"/>
    <w:rsid w:val="001B6538"/>
    <w:rsid w:val="001B669A"/>
    <w:rsid w:val="001B6E62"/>
    <w:rsid w:val="001C04CA"/>
    <w:rsid w:val="001C3E9C"/>
    <w:rsid w:val="001C47EC"/>
    <w:rsid w:val="001C4830"/>
    <w:rsid w:val="001C498D"/>
    <w:rsid w:val="001C6FD9"/>
    <w:rsid w:val="001D0AD6"/>
    <w:rsid w:val="001D24C3"/>
    <w:rsid w:val="001D277C"/>
    <w:rsid w:val="001D5B65"/>
    <w:rsid w:val="001E0073"/>
    <w:rsid w:val="001E0150"/>
    <w:rsid w:val="001E2B1A"/>
    <w:rsid w:val="001E2BD5"/>
    <w:rsid w:val="001E3289"/>
    <w:rsid w:val="001E32CA"/>
    <w:rsid w:val="001E3CB9"/>
    <w:rsid w:val="001E3E35"/>
    <w:rsid w:val="001E4948"/>
    <w:rsid w:val="001E49E1"/>
    <w:rsid w:val="001E4ED8"/>
    <w:rsid w:val="001E6B9C"/>
    <w:rsid w:val="001E7216"/>
    <w:rsid w:val="001E76EF"/>
    <w:rsid w:val="001F07C4"/>
    <w:rsid w:val="001F181D"/>
    <w:rsid w:val="001F200D"/>
    <w:rsid w:val="001F2136"/>
    <w:rsid w:val="001F22B8"/>
    <w:rsid w:val="001F2B65"/>
    <w:rsid w:val="001F2D9C"/>
    <w:rsid w:val="001F40F4"/>
    <w:rsid w:val="001F44A1"/>
    <w:rsid w:val="001F45C6"/>
    <w:rsid w:val="001F51CD"/>
    <w:rsid w:val="001F62A5"/>
    <w:rsid w:val="001F6ADC"/>
    <w:rsid w:val="002013FF"/>
    <w:rsid w:val="00202960"/>
    <w:rsid w:val="00203129"/>
    <w:rsid w:val="0020330A"/>
    <w:rsid w:val="0021065C"/>
    <w:rsid w:val="00215640"/>
    <w:rsid w:val="00215866"/>
    <w:rsid w:val="00215A9F"/>
    <w:rsid w:val="0022118D"/>
    <w:rsid w:val="00222320"/>
    <w:rsid w:val="0022243A"/>
    <w:rsid w:val="00222962"/>
    <w:rsid w:val="00224957"/>
    <w:rsid w:val="00225706"/>
    <w:rsid w:val="00225B4E"/>
    <w:rsid w:val="002260C1"/>
    <w:rsid w:val="00227F80"/>
    <w:rsid w:val="00234F91"/>
    <w:rsid w:val="002356DA"/>
    <w:rsid w:val="00236C52"/>
    <w:rsid w:val="00240A65"/>
    <w:rsid w:val="00241455"/>
    <w:rsid w:val="00241AFC"/>
    <w:rsid w:val="00245532"/>
    <w:rsid w:val="002465F6"/>
    <w:rsid w:val="00246928"/>
    <w:rsid w:val="00246E2B"/>
    <w:rsid w:val="00247096"/>
    <w:rsid w:val="002473A5"/>
    <w:rsid w:val="00250F7D"/>
    <w:rsid w:val="00250FEF"/>
    <w:rsid w:val="00254326"/>
    <w:rsid w:val="0025479D"/>
    <w:rsid w:val="0025564A"/>
    <w:rsid w:val="00255F0A"/>
    <w:rsid w:val="00261351"/>
    <w:rsid w:val="002618C9"/>
    <w:rsid w:val="00261B43"/>
    <w:rsid w:val="002628EC"/>
    <w:rsid w:val="00263192"/>
    <w:rsid w:val="00263634"/>
    <w:rsid w:val="00264D00"/>
    <w:rsid w:val="00265AEA"/>
    <w:rsid w:val="0027017B"/>
    <w:rsid w:val="002704B2"/>
    <w:rsid w:val="002717B6"/>
    <w:rsid w:val="00271E9F"/>
    <w:rsid w:val="0027261B"/>
    <w:rsid w:val="00272C16"/>
    <w:rsid w:val="002735F4"/>
    <w:rsid w:val="00274D2A"/>
    <w:rsid w:val="002756F5"/>
    <w:rsid w:val="00275857"/>
    <w:rsid w:val="00276D01"/>
    <w:rsid w:val="00280942"/>
    <w:rsid w:val="00281A70"/>
    <w:rsid w:val="0028237B"/>
    <w:rsid w:val="0028470C"/>
    <w:rsid w:val="002849E9"/>
    <w:rsid w:val="00284CE1"/>
    <w:rsid w:val="0029006D"/>
    <w:rsid w:val="002907DD"/>
    <w:rsid w:val="00290E14"/>
    <w:rsid w:val="00293D49"/>
    <w:rsid w:val="00295210"/>
    <w:rsid w:val="00295773"/>
    <w:rsid w:val="002979F9"/>
    <w:rsid w:val="002A100A"/>
    <w:rsid w:val="002A2A84"/>
    <w:rsid w:val="002A42A3"/>
    <w:rsid w:val="002A466A"/>
    <w:rsid w:val="002B16CC"/>
    <w:rsid w:val="002B2992"/>
    <w:rsid w:val="002B49B8"/>
    <w:rsid w:val="002B4ACB"/>
    <w:rsid w:val="002B5127"/>
    <w:rsid w:val="002B5A8E"/>
    <w:rsid w:val="002B666F"/>
    <w:rsid w:val="002B6A84"/>
    <w:rsid w:val="002B729E"/>
    <w:rsid w:val="002B7810"/>
    <w:rsid w:val="002B7B31"/>
    <w:rsid w:val="002C0EBA"/>
    <w:rsid w:val="002C3D42"/>
    <w:rsid w:val="002C7FF6"/>
    <w:rsid w:val="002D25D1"/>
    <w:rsid w:val="002D3CA2"/>
    <w:rsid w:val="002D5B96"/>
    <w:rsid w:val="002D6F30"/>
    <w:rsid w:val="002E2688"/>
    <w:rsid w:val="002E29EA"/>
    <w:rsid w:val="002E4E0B"/>
    <w:rsid w:val="002E5536"/>
    <w:rsid w:val="002E64BC"/>
    <w:rsid w:val="002E6C89"/>
    <w:rsid w:val="002E7585"/>
    <w:rsid w:val="002F219D"/>
    <w:rsid w:val="002F220E"/>
    <w:rsid w:val="002F2358"/>
    <w:rsid w:val="002F42EB"/>
    <w:rsid w:val="002F5306"/>
    <w:rsid w:val="00303684"/>
    <w:rsid w:val="0030412A"/>
    <w:rsid w:val="00305424"/>
    <w:rsid w:val="00310E7F"/>
    <w:rsid w:val="003150A1"/>
    <w:rsid w:val="00315E02"/>
    <w:rsid w:val="00316121"/>
    <w:rsid w:val="00316AE7"/>
    <w:rsid w:val="00317BA6"/>
    <w:rsid w:val="00321184"/>
    <w:rsid w:val="00323578"/>
    <w:rsid w:val="00323F04"/>
    <w:rsid w:val="00325722"/>
    <w:rsid w:val="003258F6"/>
    <w:rsid w:val="00325AB0"/>
    <w:rsid w:val="003260F7"/>
    <w:rsid w:val="0032627F"/>
    <w:rsid w:val="0032754D"/>
    <w:rsid w:val="00330331"/>
    <w:rsid w:val="00330912"/>
    <w:rsid w:val="00331B85"/>
    <w:rsid w:val="00333AD1"/>
    <w:rsid w:val="0033409C"/>
    <w:rsid w:val="00334947"/>
    <w:rsid w:val="00337028"/>
    <w:rsid w:val="00337D6F"/>
    <w:rsid w:val="003402E0"/>
    <w:rsid w:val="00340AC9"/>
    <w:rsid w:val="003410E5"/>
    <w:rsid w:val="00342B7C"/>
    <w:rsid w:val="003455C1"/>
    <w:rsid w:val="0034597E"/>
    <w:rsid w:val="00345A2C"/>
    <w:rsid w:val="00345B0B"/>
    <w:rsid w:val="00345E71"/>
    <w:rsid w:val="003460C2"/>
    <w:rsid w:val="0035206D"/>
    <w:rsid w:val="00352D09"/>
    <w:rsid w:val="003556A3"/>
    <w:rsid w:val="00356FE9"/>
    <w:rsid w:val="003575DE"/>
    <w:rsid w:val="00361EC8"/>
    <w:rsid w:val="003636B9"/>
    <w:rsid w:val="0036593F"/>
    <w:rsid w:val="00367186"/>
    <w:rsid w:val="00367EB4"/>
    <w:rsid w:val="00370F71"/>
    <w:rsid w:val="00371845"/>
    <w:rsid w:val="00371E70"/>
    <w:rsid w:val="0037281D"/>
    <w:rsid w:val="00372D61"/>
    <w:rsid w:val="003763FC"/>
    <w:rsid w:val="00381198"/>
    <w:rsid w:val="0038158E"/>
    <w:rsid w:val="00383E35"/>
    <w:rsid w:val="00384838"/>
    <w:rsid w:val="00386748"/>
    <w:rsid w:val="00391C1F"/>
    <w:rsid w:val="00392D8B"/>
    <w:rsid w:val="00393603"/>
    <w:rsid w:val="00393A1B"/>
    <w:rsid w:val="0039551D"/>
    <w:rsid w:val="003968F8"/>
    <w:rsid w:val="003969FF"/>
    <w:rsid w:val="00396ACB"/>
    <w:rsid w:val="003A0184"/>
    <w:rsid w:val="003A0653"/>
    <w:rsid w:val="003A48E0"/>
    <w:rsid w:val="003A6439"/>
    <w:rsid w:val="003A7865"/>
    <w:rsid w:val="003B0C9E"/>
    <w:rsid w:val="003B0DC5"/>
    <w:rsid w:val="003B2DA4"/>
    <w:rsid w:val="003B3788"/>
    <w:rsid w:val="003B519B"/>
    <w:rsid w:val="003B5A6B"/>
    <w:rsid w:val="003B5EB6"/>
    <w:rsid w:val="003B63A9"/>
    <w:rsid w:val="003B6A25"/>
    <w:rsid w:val="003C0E67"/>
    <w:rsid w:val="003C226B"/>
    <w:rsid w:val="003C34DF"/>
    <w:rsid w:val="003C500A"/>
    <w:rsid w:val="003C5FA8"/>
    <w:rsid w:val="003C6C14"/>
    <w:rsid w:val="003C6D8A"/>
    <w:rsid w:val="003C7052"/>
    <w:rsid w:val="003C721A"/>
    <w:rsid w:val="003C7338"/>
    <w:rsid w:val="003D2D3A"/>
    <w:rsid w:val="003D3CBB"/>
    <w:rsid w:val="003D5175"/>
    <w:rsid w:val="003D7589"/>
    <w:rsid w:val="003E2B86"/>
    <w:rsid w:val="003E3372"/>
    <w:rsid w:val="003E631B"/>
    <w:rsid w:val="003E729F"/>
    <w:rsid w:val="003E79FE"/>
    <w:rsid w:val="003F202C"/>
    <w:rsid w:val="003F48B0"/>
    <w:rsid w:val="003F48C7"/>
    <w:rsid w:val="003F4F98"/>
    <w:rsid w:val="003F686B"/>
    <w:rsid w:val="003F7068"/>
    <w:rsid w:val="003F7894"/>
    <w:rsid w:val="00401AF7"/>
    <w:rsid w:val="004036C6"/>
    <w:rsid w:val="00403A37"/>
    <w:rsid w:val="00406C1D"/>
    <w:rsid w:val="00406DED"/>
    <w:rsid w:val="004118F2"/>
    <w:rsid w:val="00411A1D"/>
    <w:rsid w:val="004120C3"/>
    <w:rsid w:val="00413945"/>
    <w:rsid w:val="004141BE"/>
    <w:rsid w:val="00414B22"/>
    <w:rsid w:val="00415095"/>
    <w:rsid w:val="0041594B"/>
    <w:rsid w:val="00421EA5"/>
    <w:rsid w:val="004227B1"/>
    <w:rsid w:val="00430A79"/>
    <w:rsid w:val="004318D5"/>
    <w:rsid w:val="00432D4D"/>
    <w:rsid w:val="004352CA"/>
    <w:rsid w:val="00435873"/>
    <w:rsid w:val="00436E2B"/>
    <w:rsid w:val="00443EDE"/>
    <w:rsid w:val="00444BDD"/>
    <w:rsid w:val="0044600B"/>
    <w:rsid w:val="00452CAB"/>
    <w:rsid w:val="004550E6"/>
    <w:rsid w:val="004557E6"/>
    <w:rsid w:val="004563D9"/>
    <w:rsid w:val="00456DDD"/>
    <w:rsid w:val="0045778B"/>
    <w:rsid w:val="00462198"/>
    <w:rsid w:val="00462EC9"/>
    <w:rsid w:val="00464003"/>
    <w:rsid w:val="0046442F"/>
    <w:rsid w:val="0046474B"/>
    <w:rsid w:val="00465209"/>
    <w:rsid w:val="0046523D"/>
    <w:rsid w:val="004669AF"/>
    <w:rsid w:val="004722AF"/>
    <w:rsid w:val="00474F9D"/>
    <w:rsid w:val="004776BC"/>
    <w:rsid w:val="00480F75"/>
    <w:rsid w:val="0048326C"/>
    <w:rsid w:val="00484D21"/>
    <w:rsid w:val="00485067"/>
    <w:rsid w:val="004900EC"/>
    <w:rsid w:val="00491154"/>
    <w:rsid w:val="004917BE"/>
    <w:rsid w:val="00492D16"/>
    <w:rsid w:val="00493E9D"/>
    <w:rsid w:val="00494A3E"/>
    <w:rsid w:val="0049706F"/>
    <w:rsid w:val="004A26F9"/>
    <w:rsid w:val="004A420C"/>
    <w:rsid w:val="004A59BF"/>
    <w:rsid w:val="004A5D46"/>
    <w:rsid w:val="004A61FF"/>
    <w:rsid w:val="004A676C"/>
    <w:rsid w:val="004A76EA"/>
    <w:rsid w:val="004A7A76"/>
    <w:rsid w:val="004A7C08"/>
    <w:rsid w:val="004B1A4C"/>
    <w:rsid w:val="004B3EA7"/>
    <w:rsid w:val="004B5AB3"/>
    <w:rsid w:val="004B5BEE"/>
    <w:rsid w:val="004B60BB"/>
    <w:rsid w:val="004C1A7A"/>
    <w:rsid w:val="004C2720"/>
    <w:rsid w:val="004C3E51"/>
    <w:rsid w:val="004C483A"/>
    <w:rsid w:val="004C4981"/>
    <w:rsid w:val="004C5197"/>
    <w:rsid w:val="004C5FF5"/>
    <w:rsid w:val="004C7AD7"/>
    <w:rsid w:val="004D1590"/>
    <w:rsid w:val="004D1671"/>
    <w:rsid w:val="004D3929"/>
    <w:rsid w:val="004D3CCA"/>
    <w:rsid w:val="004D46DD"/>
    <w:rsid w:val="004D4DAF"/>
    <w:rsid w:val="004D6EE1"/>
    <w:rsid w:val="004E0E54"/>
    <w:rsid w:val="004E324E"/>
    <w:rsid w:val="004E3257"/>
    <w:rsid w:val="004E3ED5"/>
    <w:rsid w:val="004E56FA"/>
    <w:rsid w:val="004E5FBB"/>
    <w:rsid w:val="004E67D2"/>
    <w:rsid w:val="004E6ED0"/>
    <w:rsid w:val="004E76DC"/>
    <w:rsid w:val="004F0916"/>
    <w:rsid w:val="004F1F69"/>
    <w:rsid w:val="004F2756"/>
    <w:rsid w:val="004F39C2"/>
    <w:rsid w:val="004F3BEC"/>
    <w:rsid w:val="004F4BB6"/>
    <w:rsid w:val="004F5CE9"/>
    <w:rsid w:val="004F6D1D"/>
    <w:rsid w:val="00500097"/>
    <w:rsid w:val="00500EF9"/>
    <w:rsid w:val="005011D1"/>
    <w:rsid w:val="00501904"/>
    <w:rsid w:val="005021F5"/>
    <w:rsid w:val="00504181"/>
    <w:rsid w:val="005046A8"/>
    <w:rsid w:val="00506C61"/>
    <w:rsid w:val="00510E7D"/>
    <w:rsid w:val="00511D35"/>
    <w:rsid w:val="005123E3"/>
    <w:rsid w:val="005138A7"/>
    <w:rsid w:val="005145DE"/>
    <w:rsid w:val="005166D8"/>
    <w:rsid w:val="005172D4"/>
    <w:rsid w:val="00517C44"/>
    <w:rsid w:val="005202A3"/>
    <w:rsid w:val="00521D10"/>
    <w:rsid w:val="00522C71"/>
    <w:rsid w:val="00522DC8"/>
    <w:rsid w:val="0052764B"/>
    <w:rsid w:val="00527E53"/>
    <w:rsid w:val="0053082D"/>
    <w:rsid w:val="00532240"/>
    <w:rsid w:val="0053282F"/>
    <w:rsid w:val="00532D32"/>
    <w:rsid w:val="00533A32"/>
    <w:rsid w:val="005346C9"/>
    <w:rsid w:val="005348F3"/>
    <w:rsid w:val="0053493B"/>
    <w:rsid w:val="00535A11"/>
    <w:rsid w:val="0053719D"/>
    <w:rsid w:val="005378D0"/>
    <w:rsid w:val="0054002A"/>
    <w:rsid w:val="00540433"/>
    <w:rsid w:val="00540445"/>
    <w:rsid w:val="0054050A"/>
    <w:rsid w:val="005408D3"/>
    <w:rsid w:val="00540C79"/>
    <w:rsid w:val="00542B3E"/>
    <w:rsid w:val="00542EEA"/>
    <w:rsid w:val="00543BC4"/>
    <w:rsid w:val="005468BC"/>
    <w:rsid w:val="005502D5"/>
    <w:rsid w:val="005504DE"/>
    <w:rsid w:val="00551CFC"/>
    <w:rsid w:val="00552CA3"/>
    <w:rsid w:val="005548B0"/>
    <w:rsid w:val="005552B5"/>
    <w:rsid w:val="0055591E"/>
    <w:rsid w:val="00556DD6"/>
    <w:rsid w:val="00556E26"/>
    <w:rsid w:val="005575E3"/>
    <w:rsid w:val="00557B67"/>
    <w:rsid w:val="00561DAF"/>
    <w:rsid w:val="00563C84"/>
    <w:rsid w:val="00564789"/>
    <w:rsid w:val="00566F35"/>
    <w:rsid w:val="00571079"/>
    <w:rsid w:val="00572BD1"/>
    <w:rsid w:val="005748C0"/>
    <w:rsid w:val="0057616A"/>
    <w:rsid w:val="00581B21"/>
    <w:rsid w:val="005844C7"/>
    <w:rsid w:val="0058506D"/>
    <w:rsid w:val="00585FB4"/>
    <w:rsid w:val="005873FC"/>
    <w:rsid w:val="00596BCB"/>
    <w:rsid w:val="00596C5F"/>
    <w:rsid w:val="00597700"/>
    <w:rsid w:val="00597CF3"/>
    <w:rsid w:val="005A02B3"/>
    <w:rsid w:val="005A151F"/>
    <w:rsid w:val="005A1C28"/>
    <w:rsid w:val="005A2377"/>
    <w:rsid w:val="005A25BE"/>
    <w:rsid w:val="005A26DE"/>
    <w:rsid w:val="005A2836"/>
    <w:rsid w:val="005A599D"/>
    <w:rsid w:val="005A630E"/>
    <w:rsid w:val="005A7C90"/>
    <w:rsid w:val="005B06C7"/>
    <w:rsid w:val="005B187C"/>
    <w:rsid w:val="005B3459"/>
    <w:rsid w:val="005B4ECE"/>
    <w:rsid w:val="005B63A8"/>
    <w:rsid w:val="005B7966"/>
    <w:rsid w:val="005B7C3E"/>
    <w:rsid w:val="005C170E"/>
    <w:rsid w:val="005C1B6F"/>
    <w:rsid w:val="005C1FC6"/>
    <w:rsid w:val="005C24C8"/>
    <w:rsid w:val="005C29F5"/>
    <w:rsid w:val="005C5B09"/>
    <w:rsid w:val="005C60FC"/>
    <w:rsid w:val="005C6B7F"/>
    <w:rsid w:val="005C77BD"/>
    <w:rsid w:val="005D0240"/>
    <w:rsid w:val="005D0A46"/>
    <w:rsid w:val="005D1304"/>
    <w:rsid w:val="005D21CF"/>
    <w:rsid w:val="005D328C"/>
    <w:rsid w:val="005D4187"/>
    <w:rsid w:val="005D4278"/>
    <w:rsid w:val="005D5670"/>
    <w:rsid w:val="005D6DFC"/>
    <w:rsid w:val="005D79A2"/>
    <w:rsid w:val="005E08BE"/>
    <w:rsid w:val="005E1998"/>
    <w:rsid w:val="005E381B"/>
    <w:rsid w:val="005E42CB"/>
    <w:rsid w:val="005E56BC"/>
    <w:rsid w:val="005E5E03"/>
    <w:rsid w:val="005E7A97"/>
    <w:rsid w:val="005F137C"/>
    <w:rsid w:val="005F4746"/>
    <w:rsid w:val="005F6613"/>
    <w:rsid w:val="005F6711"/>
    <w:rsid w:val="00600508"/>
    <w:rsid w:val="00600E33"/>
    <w:rsid w:val="0060388A"/>
    <w:rsid w:val="00604D82"/>
    <w:rsid w:val="00614DD5"/>
    <w:rsid w:val="0061629F"/>
    <w:rsid w:val="0061689E"/>
    <w:rsid w:val="00621366"/>
    <w:rsid w:val="006215A6"/>
    <w:rsid w:val="00624193"/>
    <w:rsid w:val="006259DF"/>
    <w:rsid w:val="0063216A"/>
    <w:rsid w:val="00632216"/>
    <w:rsid w:val="00632506"/>
    <w:rsid w:val="00633DFF"/>
    <w:rsid w:val="00634620"/>
    <w:rsid w:val="00635015"/>
    <w:rsid w:val="006352D0"/>
    <w:rsid w:val="00635E7E"/>
    <w:rsid w:val="00637416"/>
    <w:rsid w:val="00641806"/>
    <w:rsid w:val="00641852"/>
    <w:rsid w:val="006422CF"/>
    <w:rsid w:val="00642E5C"/>
    <w:rsid w:val="00643A0F"/>
    <w:rsid w:val="00643E20"/>
    <w:rsid w:val="006446C9"/>
    <w:rsid w:val="0064548A"/>
    <w:rsid w:val="00645AF1"/>
    <w:rsid w:val="00646126"/>
    <w:rsid w:val="00646D16"/>
    <w:rsid w:val="006471BA"/>
    <w:rsid w:val="006508FB"/>
    <w:rsid w:val="006551C3"/>
    <w:rsid w:val="00656A3D"/>
    <w:rsid w:val="006577DA"/>
    <w:rsid w:val="0066058A"/>
    <w:rsid w:val="00660A13"/>
    <w:rsid w:val="00661619"/>
    <w:rsid w:val="00662650"/>
    <w:rsid w:val="00662876"/>
    <w:rsid w:val="006628B3"/>
    <w:rsid w:val="00664EAE"/>
    <w:rsid w:val="006658A9"/>
    <w:rsid w:val="006658D4"/>
    <w:rsid w:val="00665F29"/>
    <w:rsid w:val="006670F5"/>
    <w:rsid w:val="00667511"/>
    <w:rsid w:val="00667B41"/>
    <w:rsid w:val="00670AC5"/>
    <w:rsid w:val="00671BF3"/>
    <w:rsid w:val="0067426D"/>
    <w:rsid w:val="0067427D"/>
    <w:rsid w:val="00675890"/>
    <w:rsid w:val="0067690D"/>
    <w:rsid w:val="00676BB8"/>
    <w:rsid w:val="00680357"/>
    <w:rsid w:val="00683E27"/>
    <w:rsid w:val="00690FE8"/>
    <w:rsid w:val="00692940"/>
    <w:rsid w:val="00692CE2"/>
    <w:rsid w:val="00693838"/>
    <w:rsid w:val="00693C00"/>
    <w:rsid w:val="00696445"/>
    <w:rsid w:val="00696800"/>
    <w:rsid w:val="00696F62"/>
    <w:rsid w:val="00697298"/>
    <w:rsid w:val="00697BC0"/>
    <w:rsid w:val="006A06C3"/>
    <w:rsid w:val="006A79F2"/>
    <w:rsid w:val="006B01A1"/>
    <w:rsid w:val="006B07C7"/>
    <w:rsid w:val="006B142D"/>
    <w:rsid w:val="006B1D16"/>
    <w:rsid w:val="006B3643"/>
    <w:rsid w:val="006B3713"/>
    <w:rsid w:val="006B3C11"/>
    <w:rsid w:val="006B3F22"/>
    <w:rsid w:val="006B4993"/>
    <w:rsid w:val="006B5A2C"/>
    <w:rsid w:val="006B5E63"/>
    <w:rsid w:val="006B676F"/>
    <w:rsid w:val="006B680A"/>
    <w:rsid w:val="006B6AAD"/>
    <w:rsid w:val="006B6E9D"/>
    <w:rsid w:val="006C0D0E"/>
    <w:rsid w:val="006C1A89"/>
    <w:rsid w:val="006C27AC"/>
    <w:rsid w:val="006C39A0"/>
    <w:rsid w:val="006C5F49"/>
    <w:rsid w:val="006D254E"/>
    <w:rsid w:val="006D443D"/>
    <w:rsid w:val="006E05C6"/>
    <w:rsid w:val="006E1A9D"/>
    <w:rsid w:val="006E3214"/>
    <w:rsid w:val="006E381D"/>
    <w:rsid w:val="006E3D3E"/>
    <w:rsid w:val="006E4BBC"/>
    <w:rsid w:val="006E7659"/>
    <w:rsid w:val="006F220A"/>
    <w:rsid w:val="006F294B"/>
    <w:rsid w:val="006F2CC6"/>
    <w:rsid w:val="006F428F"/>
    <w:rsid w:val="006F49C2"/>
    <w:rsid w:val="006F4CAC"/>
    <w:rsid w:val="006F51DC"/>
    <w:rsid w:val="006F5C93"/>
    <w:rsid w:val="00701F79"/>
    <w:rsid w:val="00704B8D"/>
    <w:rsid w:val="00706DD7"/>
    <w:rsid w:val="0070782E"/>
    <w:rsid w:val="00707CE6"/>
    <w:rsid w:val="00712390"/>
    <w:rsid w:val="0072404C"/>
    <w:rsid w:val="007276E5"/>
    <w:rsid w:val="007304C0"/>
    <w:rsid w:val="00730EF4"/>
    <w:rsid w:val="00731E52"/>
    <w:rsid w:val="00733CEB"/>
    <w:rsid w:val="007438FF"/>
    <w:rsid w:val="007444EB"/>
    <w:rsid w:val="00744E77"/>
    <w:rsid w:val="0075496F"/>
    <w:rsid w:val="0075591C"/>
    <w:rsid w:val="0075610B"/>
    <w:rsid w:val="00757FF7"/>
    <w:rsid w:val="00762AC0"/>
    <w:rsid w:val="00765F77"/>
    <w:rsid w:val="00766A27"/>
    <w:rsid w:val="0076708E"/>
    <w:rsid w:val="007678AA"/>
    <w:rsid w:val="0077153B"/>
    <w:rsid w:val="00773990"/>
    <w:rsid w:val="007741D4"/>
    <w:rsid w:val="00774FF4"/>
    <w:rsid w:val="00775C3E"/>
    <w:rsid w:val="00776A1A"/>
    <w:rsid w:val="0077715C"/>
    <w:rsid w:val="00780AD8"/>
    <w:rsid w:val="00780C13"/>
    <w:rsid w:val="0078153C"/>
    <w:rsid w:val="0078154E"/>
    <w:rsid w:val="0078322C"/>
    <w:rsid w:val="00783CC8"/>
    <w:rsid w:val="00786B2B"/>
    <w:rsid w:val="007870A9"/>
    <w:rsid w:val="007906BC"/>
    <w:rsid w:val="00791BDF"/>
    <w:rsid w:val="00794C5E"/>
    <w:rsid w:val="00795B14"/>
    <w:rsid w:val="00795CD7"/>
    <w:rsid w:val="007A1C3C"/>
    <w:rsid w:val="007A2453"/>
    <w:rsid w:val="007A27FA"/>
    <w:rsid w:val="007A39FF"/>
    <w:rsid w:val="007A5AA2"/>
    <w:rsid w:val="007A6CF7"/>
    <w:rsid w:val="007A74F7"/>
    <w:rsid w:val="007B2ED6"/>
    <w:rsid w:val="007B3D40"/>
    <w:rsid w:val="007B4BE5"/>
    <w:rsid w:val="007B742E"/>
    <w:rsid w:val="007C0A6F"/>
    <w:rsid w:val="007C0BBA"/>
    <w:rsid w:val="007C2B4F"/>
    <w:rsid w:val="007C670F"/>
    <w:rsid w:val="007C72D1"/>
    <w:rsid w:val="007D1075"/>
    <w:rsid w:val="007D204C"/>
    <w:rsid w:val="007D24C7"/>
    <w:rsid w:val="007D366A"/>
    <w:rsid w:val="007D64E8"/>
    <w:rsid w:val="007D6F24"/>
    <w:rsid w:val="007E03C2"/>
    <w:rsid w:val="007E0C07"/>
    <w:rsid w:val="007E1E57"/>
    <w:rsid w:val="007E3A52"/>
    <w:rsid w:val="007F0D4C"/>
    <w:rsid w:val="007F396C"/>
    <w:rsid w:val="007F4516"/>
    <w:rsid w:val="007F6736"/>
    <w:rsid w:val="007F739C"/>
    <w:rsid w:val="007F77E8"/>
    <w:rsid w:val="008025F9"/>
    <w:rsid w:val="00802A23"/>
    <w:rsid w:val="00803013"/>
    <w:rsid w:val="00803F69"/>
    <w:rsid w:val="00805A99"/>
    <w:rsid w:val="00805B8A"/>
    <w:rsid w:val="00811884"/>
    <w:rsid w:val="008118BA"/>
    <w:rsid w:val="00811C1A"/>
    <w:rsid w:val="00812EBA"/>
    <w:rsid w:val="00813667"/>
    <w:rsid w:val="0081516C"/>
    <w:rsid w:val="008161AF"/>
    <w:rsid w:val="008161FB"/>
    <w:rsid w:val="00816567"/>
    <w:rsid w:val="0082164B"/>
    <w:rsid w:val="00823036"/>
    <w:rsid w:val="00823063"/>
    <w:rsid w:val="008230CD"/>
    <w:rsid w:val="00824156"/>
    <w:rsid w:val="0082484C"/>
    <w:rsid w:val="00824BA5"/>
    <w:rsid w:val="0082529F"/>
    <w:rsid w:val="00826989"/>
    <w:rsid w:val="00827044"/>
    <w:rsid w:val="00827338"/>
    <w:rsid w:val="00827ED5"/>
    <w:rsid w:val="0083070F"/>
    <w:rsid w:val="00830981"/>
    <w:rsid w:val="008313E5"/>
    <w:rsid w:val="00831FA4"/>
    <w:rsid w:val="00833201"/>
    <w:rsid w:val="00834A40"/>
    <w:rsid w:val="0083516C"/>
    <w:rsid w:val="00836B4C"/>
    <w:rsid w:val="00837233"/>
    <w:rsid w:val="00837810"/>
    <w:rsid w:val="008401B3"/>
    <w:rsid w:val="00844293"/>
    <w:rsid w:val="00845E3E"/>
    <w:rsid w:val="0084744E"/>
    <w:rsid w:val="00847536"/>
    <w:rsid w:val="00847EDE"/>
    <w:rsid w:val="008532DA"/>
    <w:rsid w:val="0085445C"/>
    <w:rsid w:val="00854DA3"/>
    <w:rsid w:val="00855F83"/>
    <w:rsid w:val="00856246"/>
    <w:rsid w:val="00856B31"/>
    <w:rsid w:val="00860343"/>
    <w:rsid w:val="00861745"/>
    <w:rsid w:val="0086177D"/>
    <w:rsid w:val="008617FE"/>
    <w:rsid w:val="0086289A"/>
    <w:rsid w:val="008633A4"/>
    <w:rsid w:val="00863A87"/>
    <w:rsid w:val="00864143"/>
    <w:rsid w:val="0086498A"/>
    <w:rsid w:val="0086667B"/>
    <w:rsid w:val="00866BB1"/>
    <w:rsid w:val="00867F4D"/>
    <w:rsid w:val="00870552"/>
    <w:rsid w:val="0087183C"/>
    <w:rsid w:val="00871B81"/>
    <w:rsid w:val="00872C17"/>
    <w:rsid w:val="00874900"/>
    <w:rsid w:val="00874CB8"/>
    <w:rsid w:val="008764EB"/>
    <w:rsid w:val="00877B27"/>
    <w:rsid w:val="00880423"/>
    <w:rsid w:val="00881A29"/>
    <w:rsid w:val="008822E7"/>
    <w:rsid w:val="0088286B"/>
    <w:rsid w:val="00883BB6"/>
    <w:rsid w:val="00885629"/>
    <w:rsid w:val="00885F92"/>
    <w:rsid w:val="00887070"/>
    <w:rsid w:val="008871D3"/>
    <w:rsid w:val="008879F8"/>
    <w:rsid w:val="00891C1F"/>
    <w:rsid w:val="0089252E"/>
    <w:rsid w:val="008930B5"/>
    <w:rsid w:val="0089393E"/>
    <w:rsid w:val="00893E1C"/>
    <w:rsid w:val="0089609B"/>
    <w:rsid w:val="00896551"/>
    <w:rsid w:val="00896C14"/>
    <w:rsid w:val="00896DF3"/>
    <w:rsid w:val="0089713E"/>
    <w:rsid w:val="008A11A2"/>
    <w:rsid w:val="008A14F7"/>
    <w:rsid w:val="008A2133"/>
    <w:rsid w:val="008A2A47"/>
    <w:rsid w:val="008A638D"/>
    <w:rsid w:val="008A714F"/>
    <w:rsid w:val="008B337F"/>
    <w:rsid w:val="008B348A"/>
    <w:rsid w:val="008B40CB"/>
    <w:rsid w:val="008B5F51"/>
    <w:rsid w:val="008C04E6"/>
    <w:rsid w:val="008C0C85"/>
    <w:rsid w:val="008C2CDC"/>
    <w:rsid w:val="008C362A"/>
    <w:rsid w:val="008C5030"/>
    <w:rsid w:val="008C51D3"/>
    <w:rsid w:val="008C552B"/>
    <w:rsid w:val="008C67DF"/>
    <w:rsid w:val="008D185C"/>
    <w:rsid w:val="008D2469"/>
    <w:rsid w:val="008D2748"/>
    <w:rsid w:val="008D289C"/>
    <w:rsid w:val="008D4760"/>
    <w:rsid w:val="008D54EE"/>
    <w:rsid w:val="008D7D5C"/>
    <w:rsid w:val="008E1D7F"/>
    <w:rsid w:val="008E50A8"/>
    <w:rsid w:val="008E7F8F"/>
    <w:rsid w:val="008F06B0"/>
    <w:rsid w:val="008F0B4E"/>
    <w:rsid w:val="008F2CF4"/>
    <w:rsid w:val="008F37ED"/>
    <w:rsid w:val="008F4C16"/>
    <w:rsid w:val="008F6A6E"/>
    <w:rsid w:val="008F7DBA"/>
    <w:rsid w:val="00900B01"/>
    <w:rsid w:val="00901558"/>
    <w:rsid w:val="00901794"/>
    <w:rsid w:val="0090192D"/>
    <w:rsid w:val="00901BA1"/>
    <w:rsid w:val="009070B3"/>
    <w:rsid w:val="009103C2"/>
    <w:rsid w:val="0091108F"/>
    <w:rsid w:val="00911898"/>
    <w:rsid w:val="009126F0"/>
    <w:rsid w:val="009138D5"/>
    <w:rsid w:val="00924DD9"/>
    <w:rsid w:val="0092725B"/>
    <w:rsid w:val="0092793B"/>
    <w:rsid w:val="00931FF9"/>
    <w:rsid w:val="009329E8"/>
    <w:rsid w:val="009405B2"/>
    <w:rsid w:val="009417BA"/>
    <w:rsid w:val="00942749"/>
    <w:rsid w:val="00943854"/>
    <w:rsid w:val="009439AA"/>
    <w:rsid w:val="00943EA5"/>
    <w:rsid w:val="00947564"/>
    <w:rsid w:val="009517FB"/>
    <w:rsid w:val="00952050"/>
    <w:rsid w:val="00953501"/>
    <w:rsid w:val="0095615C"/>
    <w:rsid w:val="00956369"/>
    <w:rsid w:val="00956857"/>
    <w:rsid w:val="00956BFC"/>
    <w:rsid w:val="00956C5A"/>
    <w:rsid w:val="00957F35"/>
    <w:rsid w:val="0096196B"/>
    <w:rsid w:val="0096566E"/>
    <w:rsid w:val="009707AA"/>
    <w:rsid w:val="009718AE"/>
    <w:rsid w:val="00972359"/>
    <w:rsid w:val="009728E6"/>
    <w:rsid w:val="00975648"/>
    <w:rsid w:val="00975D19"/>
    <w:rsid w:val="00980121"/>
    <w:rsid w:val="00981180"/>
    <w:rsid w:val="009811A0"/>
    <w:rsid w:val="009812A5"/>
    <w:rsid w:val="00981637"/>
    <w:rsid w:val="0098172E"/>
    <w:rsid w:val="00982BA5"/>
    <w:rsid w:val="00983287"/>
    <w:rsid w:val="0098387C"/>
    <w:rsid w:val="0098388A"/>
    <w:rsid w:val="00983CF4"/>
    <w:rsid w:val="0098400A"/>
    <w:rsid w:val="009846BA"/>
    <w:rsid w:val="00984A18"/>
    <w:rsid w:val="00985346"/>
    <w:rsid w:val="00985A9F"/>
    <w:rsid w:val="00986AEA"/>
    <w:rsid w:val="00987630"/>
    <w:rsid w:val="00990385"/>
    <w:rsid w:val="009919AE"/>
    <w:rsid w:val="00992254"/>
    <w:rsid w:val="00992BF9"/>
    <w:rsid w:val="0099440B"/>
    <w:rsid w:val="00995DB8"/>
    <w:rsid w:val="00996992"/>
    <w:rsid w:val="009A0928"/>
    <w:rsid w:val="009A123B"/>
    <w:rsid w:val="009A1315"/>
    <w:rsid w:val="009A21D2"/>
    <w:rsid w:val="009A29F6"/>
    <w:rsid w:val="009A3FD3"/>
    <w:rsid w:val="009A453D"/>
    <w:rsid w:val="009A48F5"/>
    <w:rsid w:val="009A4CEA"/>
    <w:rsid w:val="009A56AE"/>
    <w:rsid w:val="009A64B2"/>
    <w:rsid w:val="009A67BE"/>
    <w:rsid w:val="009B093D"/>
    <w:rsid w:val="009B0CE0"/>
    <w:rsid w:val="009B1A57"/>
    <w:rsid w:val="009B2612"/>
    <w:rsid w:val="009B4DC8"/>
    <w:rsid w:val="009C08FF"/>
    <w:rsid w:val="009C258A"/>
    <w:rsid w:val="009C33BD"/>
    <w:rsid w:val="009C34B3"/>
    <w:rsid w:val="009C352F"/>
    <w:rsid w:val="009C6CFB"/>
    <w:rsid w:val="009D0412"/>
    <w:rsid w:val="009D21F2"/>
    <w:rsid w:val="009D2940"/>
    <w:rsid w:val="009D3C28"/>
    <w:rsid w:val="009D418A"/>
    <w:rsid w:val="009D4267"/>
    <w:rsid w:val="009D5121"/>
    <w:rsid w:val="009D668B"/>
    <w:rsid w:val="009E1024"/>
    <w:rsid w:val="009E26A3"/>
    <w:rsid w:val="009E29E0"/>
    <w:rsid w:val="009E32C0"/>
    <w:rsid w:val="009F12F8"/>
    <w:rsid w:val="009F372B"/>
    <w:rsid w:val="009F3E55"/>
    <w:rsid w:val="009F4194"/>
    <w:rsid w:val="009F718C"/>
    <w:rsid w:val="009F72EB"/>
    <w:rsid w:val="009F7482"/>
    <w:rsid w:val="009F7A49"/>
    <w:rsid w:val="00A00833"/>
    <w:rsid w:val="00A015B7"/>
    <w:rsid w:val="00A02C91"/>
    <w:rsid w:val="00A02EFE"/>
    <w:rsid w:val="00A03DB7"/>
    <w:rsid w:val="00A03FF1"/>
    <w:rsid w:val="00A04A02"/>
    <w:rsid w:val="00A0521C"/>
    <w:rsid w:val="00A06F24"/>
    <w:rsid w:val="00A078A1"/>
    <w:rsid w:val="00A11BB7"/>
    <w:rsid w:val="00A12906"/>
    <w:rsid w:val="00A13CDF"/>
    <w:rsid w:val="00A149E2"/>
    <w:rsid w:val="00A162B5"/>
    <w:rsid w:val="00A163F4"/>
    <w:rsid w:val="00A2257B"/>
    <w:rsid w:val="00A2271B"/>
    <w:rsid w:val="00A262B1"/>
    <w:rsid w:val="00A264CD"/>
    <w:rsid w:val="00A26AC4"/>
    <w:rsid w:val="00A27FC4"/>
    <w:rsid w:val="00A3017B"/>
    <w:rsid w:val="00A33169"/>
    <w:rsid w:val="00A36473"/>
    <w:rsid w:val="00A40BEE"/>
    <w:rsid w:val="00A42DBC"/>
    <w:rsid w:val="00A43B8E"/>
    <w:rsid w:val="00A43CF9"/>
    <w:rsid w:val="00A44CFB"/>
    <w:rsid w:val="00A44DB4"/>
    <w:rsid w:val="00A4519C"/>
    <w:rsid w:val="00A46B34"/>
    <w:rsid w:val="00A4707E"/>
    <w:rsid w:val="00A4726A"/>
    <w:rsid w:val="00A51E99"/>
    <w:rsid w:val="00A51ED2"/>
    <w:rsid w:val="00A53204"/>
    <w:rsid w:val="00A550EA"/>
    <w:rsid w:val="00A56370"/>
    <w:rsid w:val="00A564F7"/>
    <w:rsid w:val="00A56C93"/>
    <w:rsid w:val="00A573BE"/>
    <w:rsid w:val="00A57907"/>
    <w:rsid w:val="00A57DCE"/>
    <w:rsid w:val="00A6057A"/>
    <w:rsid w:val="00A60833"/>
    <w:rsid w:val="00A60979"/>
    <w:rsid w:val="00A659B7"/>
    <w:rsid w:val="00A67AB0"/>
    <w:rsid w:val="00A701F1"/>
    <w:rsid w:val="00A70952"/>
    <w:rsid w:val="00A72C5F"/>
    <w:rsid w:val="00A72D17"/>
    <w:rsid w:val="00A73334"/>
    <w:rsid w:val="00A753C7"/>
    <w:rsid w:val="00A75CCE"/>
    <w:rsid w:val="00A770F3"/>
    <w:rsid w:val="00A77191"/>
    <w:rsid w:val="00A80477"/>
    <w:rsid w:val="00A81FA1"/>
    <w:rsid w:val="00A82629"/>
    <w:rsid w:val="00A82864"/>
    <w:rsid w:val="00A82B1F"/>
    <w:rsid w:val="00A83043"/>
    <w:rsid w:val="00A8368F"/>
    <w:rsid w:val="00A83BDD"/>
    <w:rsid w:val="00A85674"/>
    <w:rsid w:val="00A85879"/>
    <w:rsid w:val="00A859C8"/>
    <w:rsid w:val="00A85B1F"/>
    <w:rsid w:val="00A878A7"/>
    <w:rsid w:val="00A90600"/>
    <w:rsid w:val="00A90A53"/>
    <w:rsid w:val="00A90B59"/>
    <w:rsid w:val="00A90DE4"/>
    <w:rsid w:val="00A92912"/>
    <w:rsid w:val="00A930CF"/>
    <w:rsid w:val="00A93DB7"/>
    <w:rsid w:val="00A93E93"/>
    <w:rsid w:val="00AA162F"/>
    <w:rsid w:val="00AA2414"/>
    <w:rsid w:val="00AA2A77"/>
    <w:rsid w:val="00AA3747"/>
    <w:rsid w:val="00AA5968"/>
    <w:rsid w:val="00AA5E5D"/>
    <w:rsid w:val="00AA62FF"/>
    <w:rsid w:val="00AA6352"/>
    <w:rsid w:val="00AA6F6F"/>
    <w:rsid w:val="00AB0047"/>
    <w:rsid w:val="00AB0307"/>
    <w:rsid w:val="00AB0A14"/>
    <w:rsid w:val="00AB1727"/>
    <w:rsid w:val="00AB43B6"/>
    <w:rsid w:val="00AB4C68"/>
    <w:rsid w:val="00AB745C"/>
    <w:rsid w:val="00AC14D2"/>
    <w:rsid w:val="00AC3153"/>
    <w:rsid w:val="00AC4795"/>
    <w:rsid w:val="00AC6FCC"/>
    <w:rsid w:val="00AC744B"/>
    <w:rsid w:val="00AD0D0D"/>
    <w:rsid w:val="00AD2D27"/>
    <w:rsid w:val="00AD404C"/>
    <w:rsid w:val="00AD44C4"/>
    <w:rsid w:val="00AD48AF"/>
    <w:rsid w:val="00AD4A93"/>
    <w:rsid w:val="00AD4F49"/>
    <w:rsid w:val="00AD5B13"/>
    <w:rsid w:val="00AD6501"/>
    <w:rsid w:val="00AD68A8"/>
    <w:rsid w:val="00AD79F6"/>
    <w:rsid w:val="00AE0B6C"/>
    <w:rsid w:val="00AE4561"/>
    <w:rsid w:val="00AE4B09"/>
    <w:rsid w:val="00AE4F94"/>
    <w:rsid w:val="00AE7F48"/>
    <w:rsid w:val="00AF0F4D"/>
    <w:rsid w:val="00AF114A"/>
    <w:rsid w:val="00AF127A"/>
    <w:rsid w:val="00AF19BE"/>
    <w:rsid w:val="00AF2348"/>
    <w:rsid w:val="00AF2F83"/>
    <w:rsid w:val="00AF4A4F"/>
    <w:rsid w:val="00AF5AC3"/>
    <w:rsid w:val="00AF6A3D"/>
    <w:rsid w:val="00AF75D5"/>
    <w:rsid w:val="00B00292"/>
    <w:rsid w:val="00B0085A"/>
    <w:rsid w:val="00B00B48"/>
    <w:rsid w:val="00B01187"/>
    <w:rsid w:val="00B02238"/>
    <w:rsid w:val="00B03463"/>
    <w:rsid w:val="00B0485D"/>
    <w:rsid w:val="00B05736"/>
    <w:rsid w:val="00B05B57"/>
    <w:rsid w:val="00B078A2"/>
    <w:rsid w:val="00B07D82"/>
    <w:rsid w:val="00B138E5"/>
    <w:rsid w:val="00B14EC3"/>
    <w:rsid w:val="00B15DE3"/>
    <w:rsid w:val="00B1756F"/>
    <w:rsid w:val="00B176FB"/>
    <w:rsid w:val="00B17C45"/>
    <w:rsid w:val="00B20BBF"/>
    <w:rsid w:val="00B20ECD"/>
    <w:rsid w:val="00B20F0D"/>
    <w:rsid w:val="00B22333"/>
    <w:rsid w:val="00B23DDF"/>
    <w:rsid w:val="00B260AB"/>
    <w:rsid w:val="00B2656F"/>
    <w:rsid w:val="00B30F6D"/>
    <w:rsid w:val="00B31385"/>
    <w:rsid w:val="00B314EC"/>
    <w:rsid w:val="00B32E61"/>
    <w:rsid w:val="00B33027"/>
    <w:rsid w:val="00B34E78"/>
    <w:rsid w:val="00B41326"/>
    <w:rsid w:val="00B42447"/>
    <w:rsid w:val="00B4265F"/>
    <w:rsid w:val="00B42E79"/>
    <w:rsid w:val="00B43AF8"/>
    <w:rsid w:val="00B44CA7"/>
    <w:rsid w:val="00B44DFD"/>
    <w:rsid w:val="00B451A9"/>
    <w:rsid w:val="00B45F17"/>
    <w:rsid w:val="00B46C8A"/>
    <w:rsid w:val="00B47732"/>
    <w:rsid w:val="00B516F6"/>
    <w:rsid w:val="00B51851"/>
    <w:rsid w:val="00B51F1F"/>
    <w:rsid w:val="00B52497"/>
    <w:rsid w:val="00B53CF8"/>
    <w:rsid w:val="00B57552"/>
    <w:rsid w:val="00B57C58"/>
    <w:rsid w:val="00B6074C"/>
    <w:rsid w:val="00B61B3C"/>
    <w:rsid w:val="00B61FF6"/>
    <w:rsid w:val="00B62FAC"/>
    <w:rsid w:val="00B63191"/>
    <w:rsid w:val="00B634F9"/>
    <w:rsid w:val="00B65779"/>
    <w:rsid w:val="00B66CD4"/>
    <w:rsid w:val="00B67B2C"/>
    <w:rsid w:val="00B70A2E"/>
    <w:rsid w:val="00B70B3A"/>
    <w:rsid w:val="00B70F6D"/>
    <w:rsid w:val="00B71576"/>
    <w:rsid w:val="00B7164D"/>
    <w:rsid w:val="00B71BDC"/>
    <w:rsid w:val="00B71ECF"/>
    <w:rsid w:val="00B72070"/>
    <w:rsid w:val="00B77968"/>
    <w:rsid w:val="00B77A33"/>
    <w:rsid w:val="00B8312B"/>
    <w:rsid w:val="00B838F5"/>
    <w:rsid w:val="00B857DB"/>
    <w:rsid w:val="00B8601F"/>
    <w:rsid w:val="00B862F8"/>
    <w:rsid w:val="00B918CF"/>
    <w:rsid w:val="00B929A5"/>
    <w:rsid w:val="00B933A6"/>
    <w:rsid w:val="00B94792"/>
    <w:rsid w:val="00B950CB"/>
    <w:rsid w:val="00B96A5F"/>
    <w:rsid w:val="00B976D8"/>
    <w:rsid w:val="00BA1261"/>
    <w:rsid w:val="00BA370F"/>
    <w:rsid w:val="00BA3928"/>
    <w:rsid w:val="00BA3B60"/>
    <w:rsid w:val="00BA5B0B"/>
    <w:rsid w:val="00BA5C64"/>
    <w:rsid w:val="00BA6A45"/>
    <w:rsid w:val="00BA7EDD"/>
    <w:rsid w:val="00BB148E"/>
    <w:rsid w:val="00BB1E52"/>
    <w:rsid w:val="00BB365C"/>
    <w:rsid w:val="00BB544F"/>
    <w:rsid w:val="00BB5691"/>
    <w:rsid w:val="00BB6336"/>
    <w:rsid w:val="00BB69FD"/>
    <w:rsid w:val="00BB72AE"/>
    <w:rsid w:val="00BB7E65"/>
    <w:rsid w:val="00BC0120"/>
    <w:rsid w:val="00BC0F24"/>
    <w:rsid w:val="00BC3528"/>
    <w:rsid w:val="00BC4339"/>
    <w:rsid w:val="00BC4B23"/>
    <w:rsid w:val="00BC7CDA"/>
    <w:rsid w:val="00BD1DA6"/>
    <w:rsid w:val="00BD226B"/>
    <w:rsid w:val="00BD28E3"/>
    <w:rsid w:val="00BE1BF7"/>
    <w:rsid w:val="00BE2994"/>
    <w:rsid w:val="00BE3070"/>
    <w:rsid w:val="00BE3DC7"/>
    <w:rsid w:val="00BE3E7D"/>
    <w:rsid w:val="00BE4C29"/>
    <w:rsid w:val="00BF0477"/>
    <w:rsid w:val="00BF0FB2"/>
    <w:rsid w:val="00BF2418"/>
    <w:rsid w:val="00BF463C"/>
    <w:rsid w:val="00BF486D"/>
    <w:rsid w:val="00BF69E0"/>
    <w:rsid w:val="00BF77FD"/>
    <w:rsid w:val="00C00142"/>
    <w:rsid w:val="00C0208E"/>
    <w:rsid w:val="00C02C61"/>
    <w:rsid w:val="00C05690"/>
    <w:rsid w:val="00C10504"/>
    <w:rsid w:val="00C1586E"/>
    <w:rsid w:val="00C175A6"/>
    <w:rsid w:val="00C17DFB"/>
    <w:rsid w:val="00C204D0"/>
    <w:rsid w:val="00C220F1"/>
    <w:rsid w:val="00C23E40"/>
    <w:rsid w:val="00C24767"/>
    <w:rsid w:val="00C25DDC"/>
    <w:rsid w:val="00C25F2D"/>
    <w:rsid w:val="00C2627A"/>
    <w:rsid w:val="00C27ECC"/>
    <w:rsid w:val="00C310BF"/>
    <w:rsid w:val="00C32671"/>
    <w:rsid w:val="00C32E87"/>
    <w:rsid w:val="00C35DE2"/>
    <w:rsid w:val="00C3659B"/>
    <w:rsid w:val="00C37020"/>
    <w:rsid w:val="00C4005E"/>
    <w:rsid w:val="00C40DC1"/>
    <w:rsid w:val="00C42F8A"/>
    <w:rsid w:val="00C43928"/>
    <w:rsid w:val="00C4437D"/>
    <w:rsid w:val="00C44C9C"/>
    <w:rsid w:val="00C463D9"/>
    <w:rsid w:val="00C46D91"/>
    <w:rsid w:val="00C50B69"/>
    <w:rsid w:val="00C52FEC"/>
    <w:rsid w:val="00C54A42"/>
    <w:rsid w:val="00C5564F"/>
    <w:rsid w:val="00C55E4D"/>
    <w:rsid w:val="00C55FE5"/>
    <w:rsid w:val="00C6155E"/>
    <w:rsid w:val="00C65070"/>
    <w:rsid w:val="00C66714"/>
    <w:rsid w:val="00C66839"/>
    <w:rsid w:val="00C6692B"/>
    <w:rsid w:val="00C717B0"/>
    <w:rsid w:val="00C72750"/>
    <w:rsid w:val="00C72C42"/>
    <w:rsid w:val="00C72C8E"/>
    <w:rsid w:val="00C72CD2"/>
    <w:rsid w:val="00C73067"/>
    <w:rsid w:val="00C73A2B"/>
    <w:rsid w:val="00C73F1F"/>
    <w:rsid w:val="00C7462F"/>
    <w:rsid w:val="00C74ED3"/>
    <w:rsid w:val="00C77557"/>
    <w:rsid w:val="00C812EA"/>
    <w:rsid w:val="00C82461"/>
    <w:rsid w:val="00C82F91"/>
    <w:rsid w:val="00C84B45"/>
    <w:rsid w:val="00C8618B"/>
    <w:rsid w:val="00C862EF"/>
    <w:rsid w:val="00C864AB"/>
    <w:rsid w:val="00C87F47"/>
    <w:rsid w:val="00C934BD"/>
    <w:rsid w:val="00C94722"/>
    <w:rsid w:val="00C947C7"/>
    <w:rsid w:val="00C95E23"/>
    <w:rsid w:val="00C96768"/>
    <w:rsid w:val="00C968E9"/>
    <w:rsid w:val="00CA117B"/>
    <w:rsid w:val="00CA1C88"/>
    <w:rsid w:val="00CA2808"/>
    <w:rsid w:val="00CA31A5"/>
    <w:rsid w:val="00CA6C86"/>
    <w:rsid w:val="00CB1482"/>
    <w:rsid w:val="00CB5F55"/>
    <w:rsid w:val="00CB6023"/>
    <w:rsid w:val="00CB65F3"/>
    <w:rsid w:val="00CB6608"/>
    <w:rsid w:val="00CB694E"/>
    <w:rsid w:val="00CB6AFE"/>
    <w:rsid w:val="00CB6C6C"/>
    <w:rsid w:val="00CC30F8"/>
    <w:rsid w:val="00CC4901"/>
    <w:rsid w:val="00CD14CD"/>
    <w:rsid w:val="00CD1707"/>
    <w:rsid w:val="00CD1791"/>
    <w:rsid w:val="00CD291C"/>
    <w:rsid w:val="00CD6250"/>
    <w:rsid w:val="00CD6E8A"/>
    <w:rsid w:val="00CD75EE"/>
    <w:rsid w:val="00CE1282"/>
    <w:rsid w:val="00CE1FB4"/>
    <w:rsid w:val="00CE3B67"/>
    <w:rsid w:val="00CE4915"/>
    <w:rsid w:val="00CE64D3"/>
    <w:rsid w:val="00CE74E1"/>
    <w:rsid w:val="00CF0720"/>
    <w:rsid w:val="00CF0803"/>
    <w:rsid w:val="00CF1E27"/>
    <w:rsid w:val="00CF2A35"/>
    <w:rsid w:val="00CF3E0A"/>
    <w:rsid w:val="00CF467B"/>
    <w:rsid w:val="00CF6E2D"/>
    <w:rsid w:val="00D0006D"/>
    <w:rsid w:val="00D00FA9"/>
    <w:rsid w:val="00D044C5"/>
    <w:rsid w:val="00D05103"/>
    <w:rsid w:val="00D068D9"/>
    <w:rsid w:val="00D07790"/>
    <w:rsid w:val="00D07C74"/>
    <w:rsid w:val="00D1374C"/>
    <w:rsid w:val="00D137AB"/>
    <w:rsid w:val="00D14195"/>
    <w:rsid w:val="00D14A36"/>
    <w:rsid w:val="00D15407"/>
    <w:rsid w:val="00D16C4D"/>
    <w:rsid w:val="00D17C2B"/>
    <w:rsid w:val="00D238D8"/>
    <w:rsid w:val="00D2443F"/>
    <w:rsid w:val="00D24638"/>
    <w:rsid w:val="00D25DDC"/>
    <w:rsid w:val="00D261F0"/>
    <w:rsid w:val="00D2747C"/>
    <w:rsid w:val="00D279D9"/>
    <w:rsid w:val="00D30451"/>
    <w:rsid w:val="00D304CA"/>
    <w:rsid w:val="00D30C98"/>
    <w:rsid w:val="00D338C4"/>
    <w:rsid w:val="00D342A4"/>
    <w:rsid w:val="00D34606"/>
    <w:rsid w:val="00D35A75"/>
    <w:rsid w:val="00D366BA"/>
    <w:rsid w:val="00D37788"/>
    <w:rsid w:val="00D414CD"/>
    <w:rsid w:val="00D41FAD"/>
    <w:rsid w:val="00D42345"/>
    <w:rsid w:val="00D44430"/>
    <w:rsid w:val="00D458CE"/>
    <w:rsid w:val="00D45B59"/>
    <w:rsid w:val="00D471B9"/>
    <w:rsid w:val="00D5038C"/>
    <w:rsid w:val="00D50F67"/>
    <w:rsid w:val="00D5179B"/>
    <w:rsid w:val="00D5368C"/>
    <w:rsid w:val="00D54619"/>
    <w:rsid w:val="00D54E8F"/>
    <w:rsid w:val="00D5761F"/>
    <w:rsid w:val="00D57747"/>
    <w:rsid w:val="00D62D1D"/>
    <w:rsid w:val="00D64C2A"/>
    <w:rsid w:val="00D658E1"/>
    <w:rsid w:val="00D675A8"/>
    <w:rsid w:val="00D677EC"/>
    <w:rsid w:val="00D71326"/>
    <w:rsid w:val="00D7163A"/>
    <w:rsid w:val="00D72375"/>
    <w:rsid w:val="00D723CB"/>
    <w:rsid w:val="00D72B70"/>
    <w:rsid w:val="00D74DEC"/>
    <w:rsid w:val="00D75643"/>
    <w:rsid w:val="00D75703"/>
    <w:rsid w:val="00D75851"/>
    <w:rsid w:val="00D7708B"/>
    <w:rsid w:val="00D77B35"/>
    <w:rsid w:val="00D8153E"/>
    <w:rsid w:val="00D83185"/>
    <w:rsid w:val="00D832DC"/>
    <w:rsid w:val="00D83321"/>
    <w:rsid w:val="00D849BE"/>
    <w:rsid w:val="00D84BDC"/>
    <w:rsid w:val="00D8520A"/>
    <w:rsid w:val="00D855EA"/>
    <w:rsid w:val="00D9078E"/>
    <w:rsid w:val="00D92365"/>
    <w:rsid w:val="00D93872"/>
    <w:rsid w:val="00D95C4F"/>
    <w:rsid w:val="00D964C6"/>
    <w:rsid w:val="00D96CF6"/>
    <w:rsid w:val="00D970BA"/>
    <w:rsid w:val="00DA265A"/>
    <w:rsid w:val="00DA3DB6"/>
    <w:rsid w:val="00DA4F55"/>
    <w:rsid w:val="00DA55AA"/>
    <w:rsid w:val="00DA69F3"/>
    <w:rsid w:val="00DA7B3B"/>
    <w:rsid w:val="00DA7C89"/>
    <w:rsid w:val="00DB1C02"/>
    <w:rsid w:val="00DB1E4A"/>
    <w:rsid w:val="00DB4E29"/>
    <w:rsid w:val="00DB51CD"/>
    <w:rsid w:val="00DB5968"/>
    <w:rsid w:val="00DB5A6F"/>
    <w:rsid w:val="00DB71D8"/>
    <w:rsid w:val="00DC070D"/>
    <w:rsid w:val="00DC12EA"/>
    <w:rsid w:val="00DC3A04"/>
    <w:rsid w:val="00DC7777"/>
    <w:rsid w:val="00DD058D"/>
    <w:rsid w:val="00DD059E"/>
    <w:rsid w:val="00DD183C"/>
    <w:rsid w:val="00DD1845"/>
    <w:rsid w:val="00DD1C8C"/>
    <w:rsid w:val="00DD2D84"/>
    <w:rsid w:val="00DD2E2A"/>
    <w:rsid w:val="00DD3732"/>
    <w:rsid w:val="00DD4225"/>
    <w:rsid w:val="00DD61CB"/>
    <w:rsid w:val="00DD61E9"/>
    <w:rsid w:val="00DE0D5E"/>
    <w:rsid w:val="00DE1ACE"/>
    <w:rsid w:val="00DE2B6F"/>
    <w:rsid w:val="00DE3F50"/>
    <w:rsid w:val="00DE43E0"/>
    <w:rsid w:val="00DE4435"/>
    <w:rsid w:val="00DE48DA"/>
    <w:rsid w:val="00DE5448"/>
    <w:rsid w:val="00DE54A3"/>
    <w:rsid w:val="00DE717D"/>
    <w:rsid w:val="00DF3B43"/>
    <w:rsid w:val="00DF4F49"/>
    <w:rsid w:val="00E01B1C"/>
    <w:rsid w:val="00E04110"/>
    <w:rsid w:val="00E04A1D"/>
    <w:rsid w:val="00E05931"/>
    <w:rsid w:val="00E05CA3"/>
    <w:rsid w:val="00E06BAF"/>
    <w:rsid w:val="00E13043"/>
    <w:rsid w:val="00E1362C"/>
    <w:rsid w:val="00E13670"/>
    <w:rsid w:val="00E14941"/>
    <w:rsid w:val="00E15132"/>
    <w:rsid w:val="00E161F6"/>
    <w:rsid w:val="00E17695"/>
    <w:rsid w:val="00E17FDF"/>
    <w:rsid w:val="00E2118C"/>
    <w:rsid w:val="00E214E2"/>
    <w:rsid w:val="00E215A5"/>
    <w:rsid w:val="00E21AF7"/>
    <w:rsid w:val="00E233E7"/>
    <w:rsid w:val="00E237A1"/>
    <w:rsid w:val="00E24205"/>
    <w:rsid w:val="00E24574"/>
    <w:rsid w:val="00E25555"/>
    <w:rsid w:val="00E3098D"/>
    <w:rsid w:val="00E30D7B"/>
    <w:rsid w:val="00E31966"/>
    <w:rsid w:val="00E34447"/>
    <w:rsid w:val="00E349BB"/>
    <w:rsid w:val="00E362B6"/>
    <w:rsid w:val="00E36DC2"/>
    <w:rsid w:val="00E40656"/>
    <w:rsid w:val="00E40DAA"/>
    <w:rsid w:val="00E436FD"/>
    <w:rsid w:val="00E43F44"/>
    <w:rsid w:val="00E45D43"/>
    <w:rsid w:val="00E45FD5"/>
    <w:rsid w:val="00E46A6B"/>
    <w:rsid w:val="00E471FF"/>
    <w:rsid w:val="00E4738C"/>
    <w:rsid w:val="00E5085B"/>
    <w:rsid w:val="00E50CE0"/>
    <w:rsid w:val="00E51F87"/>
    <w:rsid w:val="00E559C0"/>
    <w:rsid w:val="00E55C2A"/>
    <w:rsid w:val="00E55C54"/>
    <w:rsid w:val="00E55E3F"/>
    <w:rsid w:val="00E56E84"/>
    <w:rsid w:val="00E61CDF"/>
    <w:rsid w:val="00E62CC1"/>
    <w:rsid w:val="00E641AB"/>
    <w:rsid w:val="00E6457A"/>
    <w:rsid w:val="00E648D7"/>
    <w:rsid w:val="00E648EB"/>
    <w:rsid w:val="00E6635C"/>
    <w:rsid w:val="00E66F3E"/>
    <w:rsid w:val="00E67848"/>
    <w:rsid w:val="00E70062"/>
    <w:rsid w:val="00E7395B"/>
    <w:rsid w:val="00E74C95"/>
    <w:rsid w:val="00E763D0"/>
    <w:rsid w:val="00E7655B"/>
    <w:rsid w:val="00E7758C"/>
    <w:rsid w:val="00E77686"/>
    <w:rsid w:val="00E777F5"/>
    <w:rsid w:val="00E77981"/>
    <w:rsid w:val="00E814CF"/>
    <w:rsid w:val="00E836F5"/>
    <w:rsid w:val="00E84E85"/>
    <w:rsid w:val="00E8508C"/>
    <w:rsid w:val="00E87307"/>
    <w:rsid w:val="00E907F5"/>
    <w:rsid w:val="00E91E7F"/>
    <w:rsid w:val="00E94289"/>
    <w:rsid w:val="00E94532"/>
    <w:rsid w:val="00E94D82"/>
    <w:rsid w:val="00E94E6C"/>
    <w:rsid w:val="00E95601"/>
    <w:rsid w:val="00E95936"/>
    <w:rsid w:val="00EA00C5"/>
    <w:rsid w:val="00EA0E85"/>
    <w:rsid w:val="00EA14D0"/>
    <w:rsid w:val="00EA1D7A"/>
    <w:rsid w:val="00EA36DC"/>
    <w:rsid w:val="00EA55F9"/>
    <w:rsid w:val="00EB25B6"/>
    <w:rsid w:val="00EB6346"/>
    <w:rsid w:val="00EB7104"/>
    <w:rsid w:val="00EB747A"/>
    <w:rsid w:val="00EB7DF3"/>
    <w:rsid w:val="00EC0D0B"/>
    <w:rsid w:val="00EC2B1B"/>
    <w:rsid w:val="00EC3F2C"/>
    <w:rsid w:val="00EC3FAF"/>
    <w:rsid w:val="00EC59E9"/>
    <w:rsid w:val="00EC71A3"/>
    <w:rsid w:val="00EC72B1"/>
    <w:rsid w:val="00EC7626"/>
    <w:rsid w:val="00EC7FA4"/>
    <w:rsid w:val="00ED0BB6"/>
    <w:rsid w:val="00ED2A02"/>
    <w:rsid w:val="00ED3474"/>
    <w:rsid w:val="00ED4461"/>
    <w:rsid w:val="00ED522E"/>
    <w:rsid w:val="00ED5632"/>
    <w:rsid w:val="00EE14EB"/>
    <w:rsid w:val="00EE4F15"/>
    <w:rsid w:val="00EE5470"/>
    <w:rsid w:val="00EE56AB"/>
    <w:rsid w:val="00EE5E7C"/>
    <w:rsid w:val="00EF06E2"/>
    <w:rsid w:val="00EF0750"/>
    <w:rsid w:val="00EF0C40"/>
    <w:rsid w:val="00EF18DE"/>
    <w:rsid w:val="00EF19D1"/>
    <w:rsid w:val="00EF29C2"/>
    <w:rsid w:val="00EF34FF"/>
    <w:rsid w:val="00EF7A73"/>
    <w:rsid w:val="00F00267"/>
    <w:rsid w:val="00F00A26"/>
    <w:rsid w:val="00F00D69"/>
    <w:rsid w:val="00F01EC3"/>
    <w:rsid w:val="00F04D14"/>
    <w:rsid w:val="00F04D72"/>
    <w:rsid w:val="00F11F9D"/>
    <w:rsid w:val="00F12F13"/>
    <w:rsid w:val="00F1534E"/>
    <w:rsid w:val="00F169A7"/>
    <w:rsid w:val="00F169F7"/>
    <w:rsid w:val="00F177CA"/>
    <w:rsid w:val="00F20D7B"/>
    <w:rsid w:val="00F20FE8"/>
    <w:rsid w:val="00F2202A"/>
    <w:rsid w:val="00F25076"/>
    <w:rsid w:val="00F2530F"/>
    <w:rsid w:val="00F264BF"/>
    <w:rsid w:val="00F266F3"/>
    <w:rsid w:val="00F27B86"/>
    <w:rsid w:val="00F30508"/>
    <w:rsid w:val="00F30FF1"/>
    <w:rsid w:val="00F322A8"/>
    <w:rsid w:val="00F32C0F"/>
    <w:rsid w:val="00F3444F"/>
    <w:rsid w:val="00F361E2"/>
    <w:rsid w:val="00F43B4A"/>
    <w:rsid w:val="00F45575"/>
    <w:rsid w:val="00F45B60"/>
    <w:rsid w:val="00F47086"/>
    <w:rsid w:val="00F47F97"/>
    <w:rsid w:val="00F501EF"/>
    <w:rsid w:val="00F51B4F"/>
    <w:rsid w:val="00F52319"/>
    <w:rsid w:val="00F5239A"/>
    <w:rsid w:val="00F539A5"/>
    <w:rsid w:val="00F53F6B"/>
    <w:rsid w:val="00F54684"/>
    <w:rsid w:val="00F55047"/>
    <w:rsid w:val="00F55464"/>
    <w:rsid w:val="00F5623C"/>
    <w:rsid w:val="00F56B94"/>
    <w:rsid w:val="00F57179"/>
    <w:rsid w:val="00F60225"/>
    <w:rsid w:val="00F60854"/>
    <w:rsid w:val="00F612C6"/>
    <w:rsid w:val="00F6736B"/>
    <w:rsid w:val="00F678AA"/>
    <w:rsid w:val="00F70786"/>
    <w:rsid w:val="00F72BFF"/>
    <w:rsid w:val="00F72DE6"/>
    <w:rsid w:val="00F72FFD"/>
    <w:rsid w:val="00F7319C"/>
    <w:rsid w:val="00F73F60"/>
    <w:rsid w:val="00F76B3E"/>
    <w:rsid w:val="00F76D6E"/>
    <w:rsid w:val="00F77B64"/>
    <w:rsid w:val="00F80E13"/>
    <w:rsid w:val="00F81B43"/>
    <w:rsid w:val="00F82093"/>
    <w:rsid w:val="00F83E6D"/>
    <w:rsid w:val="00F84756"/>
    <w:rsid w:val="00F85AF5"/>
    <w:rsid w:val="00F86D6A"/>
    <w:rsid w:val="00F90B2B"/>
    <w:rsid w:val="00F914CE"/>
    <w:rsid w:val="00F91F08"/>
    <w:rsid w:val="00F93300"/>
    <w:rsid w:val="00F96ABE"/>
    <w:rsid w:val="00FA22E9"/>
    <w:rsid w:val="00FA394B"/>
    <w:rsid w:val="00FA6914"/>
    <w:rsid w:val="00FB0C57"/>
    <w:rsid w:val="00FB162F"/>
    <w:rsid w:val="00FB2261"/>
    <w:rsid w:val="00FB63D2"/>
    <w:rsid w:val="00FB7EC8"/>
    <w:rsid w:val="00FC1093"/>
    <w:rsid w:val="00FC33D8"/>
    <w:rsid w:val="00FC3CA4"/>
    <w:rsid w:val="00FC40DB"/>
    <w:rsid w:val="00FC4B86"/>
    <w:rsid w:val="00FC511F"/>
    <w:rsid w:val="00FC6360"/>
    <w:rsid w:val="00FC707B"/>
    <w:rsid w:val="00FC739D"/>
    <w:rsid w:val="00FC7958"/>
    <w:rsid w:val="00FC7D60"/>
    <w:rsid w:val="00FD04BF"/>
    <w:rsid w:val="00FD1161"/>
    <w:rsid w:val="00FD15EB"/>
    <w:rsid w:val="00FD4B41"/>
    <w:rsid w:val="00FD77FE"/>
    <w:rsid w:val="00FD7D56"/>
    <w:rsid w:val="00FE0657"/>
    <w:rsid w:val="00FE07D8"/>
    <w:rsid w:val="00FE0D92"/>
    <w:rsid w:val="00FE3AE1"/>
    <w:rsid w:val="00FE6EE5"/>
    <w:rsid w:val="00FF1D2C"/>
    <w:rsid w:val="00FF2795"/>
    <w:rsid w:val="00FF3101"/>
    <w:rsid w:val="00FF4A2F"/>
    <w:rsid w:val="02906866"/>
    <w:rsid w:val="02CC2446"/>
    <w:rsid w:val="03CF60EB"/>
    <w:rsid w:val="04795984"/>
    <w:rsid w:val="049C02A0"/>
    <w:rsid w:val="05817149"/>
    <w:rsid w:val="06934FA0"/>
    <w:rsid w:val="07530298"/>
    <w:rsid w:val="097D1665"/>
    <w:rsid w:val="09C1387F"/>
    <w:rsid w:val="0A936191"/>
    <w:rsid w:val="0AF60489"/>
    <w:rsid w:val="0D6030D9"/>
    <w:rsid w:val="11305FA0"/>
    <w:rsid w:val="12C5073A"/>
    <w:rsid w:val="14D76DF8"/>
    <w:rsid w:val="15244CDE"/>
    <w:rsid w:val="1655731D"/>
    <w:rsid w:val="16C06D09"/>
    <w:rsid w:val="1729020A"/>
    <w:rsid w:val="17DC0A80"/>
    <w:rsid w:val="18170549"/>
    <w:rsid w:val="1A0F3D17"/>
    <w:rsid w:val="1A261532"/>
    <w:rsid w:val="1C944198"/>
    <w:rsid w:val="1CE66EFF"/>
    <w:rsid w:val="1E103F23"/>
    <w:rsid w:val="1E663B63"/>
    <w:rsid w:val="1ECC4154"/>
    <w:rsid w:val="1F451163"/>
    <w:rsid w:val="20F40A92"/>
    <w:rsid w:val="21257EE7"/>
    <w:rsid w:val="24177B6D"/>
    <w:rsid w:val="2A05265C"/>
    <w:rsid w:val="2A50050E"/>
    <w:rsid w:val="2A504B83"/>
    <w:rsid w:val="2B9C0226"/>
    <w:rsid w:val="2C95144D"/>
    <w:rsid w:val="2D520312"/>
    <w:rsid w:val="2F0C21A7"/>
    <w:rsid w:val="2F40142E"/>
    <w:rsid w:val="2F923F26"/>
    <w:rsid w:val="328A6525"/>
    <w:rsid w:val="34A37685"/>
    <w:rsid w:val="35A17E03"/>
    <w:rsid w:val="35E46817"/>
    <w:rsid w:val="37847979"/>
    <w:rsid w:val="38DB1846"/>
    <w:rsid w:val="38FA16AA"/>
    <w:rsid w:val="3C6C3960"/>
    <w:rsid w:val="3CDB2CDD"/>
    <w:rsid w:val="3D0F2205"/>
    <w:rsid w:val="3D8257A2"/>
    <w:rsid w:val="3ECF6268"/>
    <w:rsid w:val="424B10A8"/>
    <w:rsid w:val="464A0A4C"/>
    <w:rsid w:val="46B139B5"/>
    <w:rsid w:val="46F16025"/>
    <w:rsid w:val="473B6E06"/>
    <w:rsid w:val="4B5E5EEA"/>
    <w:rsid w:val="4BFFC8BF"/>
    <w:rsid w:val="4C953C5A"/>
    <w:rsid w:val="4CD024F0"/>
    <w:rsid w:val="4D1534C6"/>
    <w:rsid w:val="4D5A3E16"/>
    <w:rsid w:val="4D8C39E6"/>
    <w:rsid w:val="4E453C67"/>
    <w:rsid w:val="4E61129C"/>
    <w:rsid w:val="50AD515E"/>
    <w:rsid w:val="52F55EF1"/>
    <w:rsid w:val="53355C24"/>
    <w:rsid w:val="53BA31D3"/>
    <w:rsid w:val="53E12436"/>
    <w:rsid w:val="544A6D1E"/>
    <w:rsid w:val="54B77D09"/>
    <w:rsid w:val="55C80205"/>
    <w:rsid w:val="55F9AFC7"/>
    <w:rsid w:val="57CC21E7"/>
    <w:rsid w:val="57D80BB2"/>
    <w:rsid w:val="593924D4"/>
    <w:rsid w:val="59740F6F"/>
    <w:rsid w:val="59A901EB"/>
    <w:rsid w:val="5A00576B"/>
    <w:rsid w:val="5A320A86"/>
    <w:rsid w:val="5B06326C"/>
    <w:rsid w:val="5B7E08FE"/>
    <w:rsid w:val="5E8331E3"/>
    <w:rsid w:val="605D12C9"/>
    <w:rsid w:val="60A77664"/>
    <w:rsid w:val="60ED689C"/>
    <w:rsid w:val="64CF321D"/>
    <w:rsid w:val="661C166C"/>
    <w:rsid w:val="68CB6094"/>
    <w:rsid w:val="69230704"/>
    <w:rsid w:val="6B9B2358"/>
    <w:rsid w:val="6D7C2717"/>
    <w:rsid w:val="6EDA63CA"/>
    <w:rsid w:val="719C2626"/>
    <w:rsid w:val="721857E1"/>
    <w:rsid w:val="748F50B8"/>
    <w:rsid w:val="760E1F3C"/>
    <w:rsid w:val="78EF331E"/>
    <w:rsid w:val="797B1B5D"/>
    <w:rsid w:val="7BFE1E72"/>
    <w:rsid w:val="7C107161"/>
    <w:rsid w:val="7CD60A87"/>
    <w:rsid w:val="7DC015E8"/>
    <w:rsid w:val="7E91323E"/>
    <w:rsid w:val="7ECB2FA5"/>
    <w:rsid w:val="7EFB4D3C"/>
    <w:rsid w:val="7F4B5DC7"/>
    <w:rsid w:val="7FFF7E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iPriority="99" w:semiHidden="0" w:name="annotation reference"/>
    <w:lsdException w:uiPriority="99" w:name="line number"/>
    <w:lsdException w:uiPriority="99" w:name="page number"/>
    <w:lsdException w:qFormat="1" w:unhideWhenUsed="0" w:uiPriority="0" w:name="endnote reference"/>
    <w:lsdException w:qFormat="1" w:unhideWhenUsed="0" w:uiPriority="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uiPriority="99" w:name="HTML Keyboard"/>
    <w:lsdException w:uiPriority="99" w:name="HTML Preformatted"/>
    <w:lsdException w:uiPriority="99" w:name="HTML Sample"/>
    <w:lsdException w:uiPriority="99" w:name="HTML Typewriter"/>
    <w:lsdException w:qFormat="1" w:uiPriority="99" w:semiHidden="0"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12">
    <w:name w:val="Default Paragraph Font"/>
    <w:semiHidden/>
    <w:unhideWhenUsed/>
    <w:uiPriority w:val="1"/>
  </w:style>
  <w:style w:type="table" w:default="1" w:styleId="23">
    <w:name w:val="Normal Table"/>
    <w:semiHidden/>
    <w:unhideWhenUsed/>
    <w:uiPriority w:val="99"/>
    <w:tblPr>
      <w:tblLayout w:type="fixed"/>
      <w:tblCellMar>
        <w:top w:w="0" w:type="dxa"/>
        <w:left w:w="108" w:type="dxa"/>
        <w:bottom w:w="0" w:type="dxa"/>
        <w:right w:w="108" w:type="dxa"/>
      </w:tblCellMar>
    </w:tblPr>
  </w:style>
  <w:style w:type="paragraph" w:styleId="2">
    <w:name w:val="annotation subject"/>
    <w:basedOn w:val="3"/>
    <w:next w:val="3"/>
    <w:link w:val="34"/>
    <w:qFormat/>
    <w:uiPriority w:val="0"/>
    <w:rPr>
      <w:b/>
      <w:bCs/>
    </w:rPr>
  </w:style>
  <w:style w:type="paragraph" w:styleId="3">
    <w:name w:val="annotation text"/>
    <w:basedOn w:val="1"/>
    <w:link w:val="47"/>
    <w:semiHidden/>
    <w:qFormat/>
    <w:uiPriority w:val="0"/>
    <w:pPr>
      <w:jc w:val="left"/>
    </w:pPr>
    <w:rPr>
      <w:rFonts w:ascii="Calibri" w:hAnsi="Calibri"/>
    </w:rPr>
  </w:style>
  <w:style w:type="paragraph" w:styleId="4">
    <w:name w:val="caption"/>
    <w:basedOn w:val="1"/>
    <w:next w:val="1"/>
    <w:qFormat/>
    <w:uiPriority w:val="35"/>
    <w:rPr>
      <w:rFonts w:ascii="等线 Light" w:hAnsi="等线 Light" w:eastAsia="黑体"/>
      <w:sz w:val="20"/>
      <w:szCs w:val="20"/>
    </w:rPr>
  </w:style>
  <w:style w:type="paragraph" w:styleId="5">
    <w:name w:val="Plain Text"/>
    <w:basedOn w:val="1"/>
    <w:link w:val="42"/>
    <w:qFormat/>
    <w:uiPriority w:val="0"/>
    <w:pPr>
      <w:widowControl/>
      <w:spacing w:before="100" w:beforeAutospacing="1" w:after="100" w:afterAutospacing="1"/>
      <w:jc w:val="left"/>
    </w:pPr>
    <w:rPr>
      <w:rFonts w:ascii="宋体" w:hAnsi="宋体"/>
      <w:kern w:val="0"/>
      <w:sz w:val="24"/>
      <w:szCs w:val="24"/>
    </w:rPr>
  </w:style>
  <w:style w:type="paragraph" w:styleId="6">
    <w:name w:val="endnote text"/>
    <w:basedOn w:val="1"/>
    <w:semiHidden/>
    <w:qFormat/>
    <w:uiPriority w:val="0"/>
    <w:pPr>
      <w:snapToGrid w:val="0"/>
      <w:jc w:val="left"/>
    </w:pPr>
  </w:style>
  <w:style w:type="paragraph" w:styleId="7">
    <w:name w:val="Balloon Text"/>
    <w:basedOn w:val="1"/>
    <w:link w:val="36"/>
    <w:semiHidden/>
    <w:qFormat/>
    <w:uiPriority w:val="0"/>
    <w:rPr>
      <w:sz w:val="18"/>
      <w:szCs w:val="18"/>
    </w:rPr>
  </w:style>
  <w:style w:type="paragraph" w:styleId="8">
    <w:name w:val="footer"/>
    <w:basedOn w:val="1"/>
    <w:link w:val="39"/>
    <w:qFormat/>
    <w:uiPriority w:val="99"/>
    <w:pPr>
      <w:tabs>
        <w:tab w:val="center" w:pos="4153"/>
        <w:tab w:val="right" w:pos="8306"/>
      </w:tabs>
      <w:snapToGrid w:val="0"/>
      <w:jc w:val="left"/>
    </w:pPr>
    <w:rPr>
      <w:sz w:val="18"/>
      <w:szCs w:val="18"/>
    </w:rPr>
  </w:style>
  <w:style w:type="paragraph" w:styleId="9">
    <w:name w:val="header"/>
    <w:basedOn w:val="1"/>
    <w:link w:val="44"/>
    <w:qFormat/>
    <w:uiPriority w:val="0"/>
    <w:pPr>
      <w:pBdr>
        <w:bottom w:val="single" w:color="auto" w:sz="6" w:space="1"/>
      </w:pBdr>
      <w:tabs>
        <w:tab w:val="center" w:pos="4153"/>
        <w:tab w:val="right" w:pos="8306"/>
      </w:tabs>
      <w:snapToGrid w:val="0"/>
      <w:jc w:val="center"/>
    </w:pPr>
    <w:rPr>
      <w:sz w:val="18"/>
      <w:szCs w:val="18"/>
    </w:rPr>
  </w:style>
  <w:style w:type="paragraph" w:styleId="10">
    <w:name w:val="footnote text"/>
    <w:basedOn w:val="1"/>
    <w:link w:val="28"/>
    <w:qFormat/>
    <w:uiPriority w:val="0"/>
    <w:pPr>
      <w:snapToGrid w:val="0"/>
      <w:jc w:val="left"/>
    </w:pPr>
    <w:rPr>
      <w:rFonts w:ascii="Calibri" w:hAnsi="Calibri"/>
      <w:sz w:val="18"/>
      <w:szCs w:val="18"/>
    </w:rPr>
  </w:style>
  <w:style w:type="paragraph" w:styleId="11">
    <w:name w:val="Title"/>
    <w:basedOn w:val="1"/>
    <w:next w:val="1"/>
    <w:link w:val="26"/>
    <w:qFormat/>
    <w:uiPriority w:val="0"/>
    <w:pPr>
      <w:spacing w:before="240" w:after="60"/>
      <w:jc w:val="center"/>
      <w:outlineLvl w:val="0"/>
    </w:pPr>
    <w:rPr>
      <w:rFonts w:ascii="Calibri Light" w:hAnsi="Calibri Light"/>
      <w:b/>
      <w:bCs/>
      <w:sz w:val="32"/>
      <w:szCs w:val="32"/>
    </w:rPr>
  </w:style>
  <w:style w:type="character" w:styleId="13">
    <w:name w:val="endnote reference"/>
    <w:semiHidden/>
    <w:qFormat/>
    <w:uiPriority w:val="0"/>
    <w:rPr>
      <w:vertAlign w:val="superscript"/>
    </w:rPr>
  </w:style>
  <w:style w:type="character" w:styleId="14">
    <w:name w:val="FollowedHyperlink"/>
    <w:basedOn w:val="12"/>
    <w:unhideWhenUsed/>
    <w:qFormat/>
    <w:uiPriority w:val="99"/>
    <w:rPr>
      <w:color w:val="2490F8"/>
      <w:u w:val="none"/>
    </w:rPr>
  </w:style>
  <w:style w:type="character" w:styleId="15">
    <w:name w:val="Emphasis"/>
    <w:basedOn w:val="12"/>
    <w:qFormat/>
    <w:uiPriority w:val="20"/>
  </w:style>
  <w:style w:type="character" w:styleId="16">
    <w:name w:val="HTML Definition"/>
    <w:basedOn w:val="12"/>
    <w:unhideWhenUsed/>
    <w:qFormat/>
    <w:uiPriority w:val="99"/>
  </w:style>
  <w:style w:type="character" w:styleId="17">
    <w:name w:val="HTML Variable"/>
    <w:basedOn w:val="12"/>
    <w:unhideWhenUsed/>
    <w:qFormat/>
    <w:uiPriority w:val="99"/>
  </w:style>
  <w:style w:type="character" w:styleId="18">
    <w:name w:val="Hyperlink"/>
    <w:basedOn w:val="12"/>
    <w:unhideWhenUsed/>
    <w:qFormat/>
    <w:uiPriority w:val="99"/>
    <w:rPr>
      <w:color w:val="2490F8"/>
      <w:u w:val="none"/>
    </w:rPr>
  </w:style>
  <w:style w:type="character" w:styleId="19">
    <w:name w:val="HTML Code"/>
    <w:basedOn w:val="12"/>
    <w:unhideWhenUsed/>
    <w:qFormat/>
    <w:uiPriority w:val="99"/>
    <w:rPr>
      <w:rFonts w:ascii="微软雅黑" w:hAnsi="微软雅黑" w:eastAsia="微软雅黑" w:cs="微软雅黑"/>
      <w:sz w:val="18"/>
      <w:szCs w:val="18"/>
    </w:rPr>
  </w:style>
  <w:style w:type="character" w:styleId="20">
    <w:name w:val="annotation reference"/>
    <w:unhideWhenUsed/>
    <w:qFormat/>
    <w:uiPriority w:val="99"/>
    <w:rPr>
      <w:sz w:val="21"/>
      <w:szCs w:val="21"/>
    </w:rPr>
  </w:style>
  <w:style w:type="character" w:styleId="21">
    <w:name w:val="HTML Cite"/>
    <w:basedOn w:val="12"/>
    <w:unhideWhenUsed/>
    <w:qFormat/>
    <w:uiPriority w:val="99"/>
  </w:style>
  <w:style w:type="character" w:styleId="22">
    <w:name w:val="footnote reference"/>
    <w:qFormat/>
    <w:uiPriority w:val="0"/>
    <w:rPr>
      <w:rFonts w:cs="Times New Roman"/>
      <w:vertAlign w:val="superscript"/>
    </w:r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5">
    <w:name w:val="页眉 Char"/>
    <w:qFormat/>
    <w:locked/>
    <w:uiPriority w:val="0"/>
    <w:rPr>
      <w:rFonts w:eastAsia="宋体"/>
      <w:kern w:val="2"/>
      <w:sz w:val="18"/>
      <w:szCs w:val="18"/>
      <w:lang w:bidi="ar-SA"/>
    </w:rPr>
  </w:style>
  <w:style w:type="character" w:customStyle="1" w:styleId="26">
    <w:name w:val="标题 字符"/>
    <w:link w:val="11"/>
    <w:qFormat/>
    <w:uiPriority w:val="0"/>
    <w:rPr>
      <w:rFonts w:ascii="Calibri Light" w:hAnsi="Calibri Light" w:eastAsia="宋体"/>
      <w:b/>
      <w:bCs/>
      <w:kern w:val="2"/>
      <w:sz w:val="32"/>
      <w:szCs w:val="32"/>
      <w:lang w:val="en-US" w:eastAsia="zh-CN" w:bidi="ar-SA"/>
    </w:rPr>
  </w:style>
  <w:style w:type="character" w:customStyle="1" w:styleId="27">
    <w:name w:val="批注主题 Char"/>
    <w:qFormat/>
    <w:uiPriority w:val="0"/>
    <w:rPr>
      <w:rFonts w:ascii="Calibri" w:hAnsi="Calibri" w:eastAsia="宋体"/>
      <w:b/>
      <w:bCs/>
      <w:kern w:val="2"/>
      <w:sz w:val="21"/>
      <w:szCs w:val="22"/>
      <w:lang w:val="en-US" w:eastAsia="zh-CN" w:bidi="ar-SA"/>
    </w:rPr>
  </w:style>
  <w:style w:type="character" w:customStyle="1" w:styleId="28">
    <w:name w:val="脚注文本 字符"/>
    <w:link w:val="10"/>
    <w:qFormat/>
    <w:uiPriority w:val="0"/>
    <w:rPr>
      <w:rFonts w:ascii="Calibri" w:hAnsi="Calibri" w:eastAsia="宋体"/>
      <w:kern w:val="2"/>
      <w:sz w:val="18"/>
      <w:szCs w:val="18"/>
      <w:lang w:val="en-US" w:eastAsia="zh-CN" w:bidi="ar-SA"/>
    </w:rPr>
  </w:style>
  <w:style w:type="character" w:customStyle="1" w:styleId="29">
    <w:name w:val="脚注文本 Char"/>
    <w:qFormat/>
    <w:uiPriority w:val="0"/>
    <w:rPr>
      <w:rFonts w:ascii="Calibri" w:hAnsi="Calibri" w:eastAsia="宋体"/>
      <w:kern w:val="2"/>
      <w:sz w:val="18"/>
      <w:szCs w:val="18"/>
      <w:lang w:val="en-US" w:eastAsia="zh-CN" w:bidi="ar-SA"/>
    </w:rPr>
  </w:style>
  <w:style w:type="character" w:customStyle="1" w:styleId="30">
    <w:name w:val="页眉 Char1"/>
    <w:link w:val="31"/>
    <w:qFormat/>
    <w:uiPriority w:val="0"/>
    <w:rPr>
      <w:kern w:val="2"/>
      <w:sz w:val="18"/>
      <w:szCs w:val="18"/>
      <w:lang w:bidi="ar-SA"/>
    </w:rPr>
  </w:style>
  <w:style w:type="paragraph" w:customStyle="1" w:styleId="31">
    <w:name w:val="页眉1"/>
    <w:basedOn w:val="32"/>
    <w:link w:val="30"/>
    <w:qFormat/>
    <w:uiPriority w:val="0"/>
    <w:pPr>
      <w:pBdr>
        <w:bottom w:val="single" w:color="auto" w:sz="6" w:space="1"/>
      </w:pBdr>
      <w:tabs>
        <w:tab w:val="center" w:pos="4153"/>
        <w:tab w:val="right" w:pos="8306"/>
      </w:tabs>
      <w:snapToGrid w:val="0"/>
      <w:jc w:val="center"/>
    </w:pPr>
    <w:rPr>
      <w:rFonts w:ascii="Times New Roman" w:eastAsia="宋体"/>
      <w:sz w:val="18"/>
      <w:szCs w:val="18"/>
    </w:rPr>
  </w:style>
  <w:style w:type="paragraph" w:customStyle="1" w:styleId="32">
    <w:name w:val="正文993"/>
    <w:link w:val="43"/>
    <w:qFormat/>
    <w:uiPriority w:val="0"/>
    <w:pPr>
      <w:widowControl w:val="0"/>
      <w:jc w:val="both"/>
    </w:pPr>
    <w:rPr>
      <w:rFonts w:ascii="仿宋_GB2312" w:hAnsi="Times New Roman" w:eastAsia="仿宋_GB2312" w:cs="Times New Roman"/>
      <w:kern w:val="2"/>
      <w:sz w:val="24"/>
      <w:szCs w:val="24"/>
      <w:lang w:val="en-US" w:eastAsia="zh-CN" w:bidi="ar-SA"/>
    </w:rPr>
  </w:style>
  <w:style w:type="character" w:customStyle="1" w:styleId="33">
    <w:name w:val="Char Char4"/>
    <w:qFormat/>
    <w:locked/>
    <w:uiPriority w:val="0"/>
    <w:rPr>
      <w:rFonts w:ascii="Calibri" w:hAnsi="Calibri" w:eastAsia="宋体"/>
      <w:kern w:val="2"/>
      <w:sz w:val="18"/>
      <w:szCs w:val="18"/>
      <w:lang w:val="en-US" w:eastAsia="zh-CN" w:bidi="ar-SA"/>
    </w:rPr>
  </w:style>
  <w:style w:type="character" w:customStyle="1" w:styleId="34">
    <w:name w:val="批注主题 字符"/>
    <w:link w:val="2"/>
    <w:qFormat/>
    <w:uiPriority w:val="0"/>
    <w:rPr>
      <w:rFonts w:ascii="Calibri" w:hAnsi="Calibri" w:eastAsia="宋体"/>
      <w:b/>
      <w:bCs/>
      <w:kern w:val="2"/>
      <w:sz w:val="21"/>
      <w:szCs w:val="22"/>
      <w:lang w:val="en-US" w:eastAsia="zh-CN" w:bidi="ar-SA"/>
    </w:rPr>
  </w:style>
  <w:style w:type="character" w:customStyle="1" w:styleId="35">
    <w:name w:val="font31"/>
    <w:qFormat/>
    <w:uiPriority w:val="0"/>
    <w:rPr>
      <w:rFonts w:hint="eastAsia" w:ascii="宋体" w:hAnsi="宋体" w:eastAsia="宋体" w:cs="宋体"/>
      <w:b/>
      <w:color w:val="000000"/>
      <w:sz w:val="24"/>
      <w:szCs w:val="24"/>
      <w:u w:val="none"/>
    </w:rPr>
  </w:style>
  <w:style w:type="character" w:customStyle="1" w:styleId="36">
    <w:name w:val="批注框文本 字符"/>
    <w:link w:val="7"/>
    <w:semiHidden/>
    <w:qFormat/>
    <w:locked/>
    <w:uiPriority w:val="0"/>
    <w:rPr>
      <w:rFonts w:eastAsia="宋体"/>
      <w:kern w:val="2"/>
      <w:sz w:val="18"/>
      <w:szCs w:val="18"/>
      <w:lang w:bidi="ar-SA"/>
    </w:rPr>
  </w:style>
  <w:style w:type="character" w:customStyle="1" w:styleId="37">
    <w:name w:val="引用 字符"/>
    <w:link w:val="38"/>
    <w:qFormat/>
    <w:uiPriority w:val="29"/>
    <w:rPr>
      <w:i/>
      <w:iCs/>
      <w:color w:val="404040"/>
      <w:kern w:val="2"/>
      <w:sz w:val="21"/>
      <w:szCs w:val="22"/>
    </w:rPr>
  </w:style>
  <w:style w:type="paragraph" w:customStyle="1" w:styleId="38">
    <w:name w:val="引用1"/>
    <w:basedOn w:val="1"/>
    <w:next w:val="1"/>
    <w:link w:val="37"/>
    <w:qFormat/>
    <w:uiPriority w:val="29"/>
    <w:pPr>
      <w:spacing w:before="200" w:after="160"/>
      <w:ind w:left="864" w:right="864"/>
      <w:jc w:val="center"/>
    </w:pPr>
    <w:rPr>
      <w:i/>
      <w:iCs/>
      <w:color w:val="404040"/>
    </w:rPr>
  </w:style>
  <w:style w:type="character" w:customStyle="1" w:styleId="39">
    <w:name w:val="页脚 字符"/>
    <w:link w:val="8"/>
    <w:qFormat/>
    <w:uiPriority w:val="0"/>
    <w:rPr>
      <w:rFonts w:eastAsia="宋体"/>
      <w:kern w:val="2"/>
      <w:sz w:val="18"/>
      <w:szCs w:val="18"/>
      <w:lang w:val="en-US" w:eastAsia="zh-CN" w:bidi="ar-SA"/>
    </w:rPr>
  </w:style>
  <w:style w:type="character" w:customStyle="1" w:styleId="40">
    <w:name w:val="标题 Char"/>
    <w:qFormat/>
    <w:uiPriority w:val="0"/>
    <w:rPr>
      <w:rFonts w:ascii="Calibri Light" w:hAnsi="Calibri Light" w:eastAsia="宋体"/>
      <w:b/>
      <w:bCs/>
      <w:kern w:val="2"/>
      <w:sz w:val="32"/>
      <w:szCs w:val="32"/>
      <w:lang w:val="en-US" w:eastAsia="zh-CN" w:bidi="ar-SA"/>
    </w:rPr>
  </w:style>
  <w:style w:type="character" w:customStyle="1" w:styleId="41">
    <w:name w:val="纯文本 Char1"/>
    <w:qFormat/>
    <w:locked/>
    <w:uiPriority w:val="0"/>
    <w:rPr>
      <w:rFonts w:ascii="宋体" w:hAnsi="宋体" w:eastAsia="宋体"/>
      <w:sz w:val="24"/>
      <w:szCs w:val="24"/>
      <w:lang w:bidi="ar-SA"/>
    </w:rPr>
  </w:style>
  <w:style w:type="character" w:customStyle="1" w:styleId="42">
    <w:name w:val="纯文本 字符"/>
    <w:link w:val="5"/>
    <w:qFormat/>
    <w:locked/>
    <w:uiPriority w:val="0"/>
    <w:rPr>
      <w:rFonts w:ascii="宋体" w:hAnsi="宋体" w:eastAsia="宋体"/>
      <w:sz w:val="24"/>
      <w:szCs w:val="24"/>
      <w:lang w:bidi="ar-SA"/>
    </w:rPr>
  </w:style>
  <w:style w:type="character" w:customStyle="1" w:styleId="43">
    <w:name w:val="正文993 Char"/>
    <w:link w:val="32"/>
    <w:qFormat/>
    <w:uiPriority w:val="0"/>
    <w:rPr>
      <w:rFonts w:ascii="仿宋_GB2312" w:eastAsia="仿宋_GB2312"/>
      <w:kern w:val="2"/>
      <w:sz w:val="24"/>
      <w:szCs w:val="24"/>
      <w:lang w:val="en-US" w:eastAsia="zh-CN" w:bidi="ar-SA"/>
    </w:rPr>
  </w:style>
  <w:style w:type="character" w:customStyle="1" w:styleId="44">
    <w:name w:val="页眉 字符"/>
    <w:link w:val="9"/>
    <w:qFormat/>
    <w:locked/>
    <w:uiPriority w:val="0"/>
    <w:rPr>
      <w:rFonts w:eastAsia="宋体"/>
      <w:kern w:val="2"/>
      <w:sz w:val="18"/>
      <w:szCs w:val="18"/>
      <w:lang w:bidi="ar-SA"/>
    </w:rPr>
  </w:style>
  <w:style w:type="character" w:customStyle="1" w:styleId="45">
    <w:name w:val="页脚 Char"/>
    <w:qFormat/>
    <w:uiPriority w:val="99"/>
    <w:rPr>
      <w:rFonts w:eastAsia="宋体"/>
      <w:kern w:val="2"/>
      <w:sz w:val="18"/>
      <w:szCs w:val="18"/>
      <w:lang w:val="en-US" w:eastAsia="zh-CN" w:bidi="ar-SA"/>
    </w:rPr>
  </w:style>
  <w:style w:type="character" w:customStyle="1" w:styleId="46">
    <w:name w:val="批注文字 Char"/>
    <w:qFormat/>
    <w:uiPriority w:val="0"/>
    <w:rPr>
      <w:rFonts w:ascii="Calibri" w:hAnsi="Calibri" w:eastAsia="宋体"/>
      <w:kern w:val="2"/>
      <w:sz w:val="21"/>
      <w:szCs w:val="22"/>
      <w:lang w:val="en-US" w:eastAsia="zh-CN" w:bidi="ar-SA"/>
    </w:rPr>
  </w:style>
  <w:style w:type="character" w:customStyle="1" w:styleId="47">
    <w:name w:val="批注文字 字符"/>
    <w:link w:val="3"/>
    <w:qFormat/>
    <w:uiPriority w:val="0"/>
    <w:rPr>
      <w:rFonts w:ascii="Calibri" w:hAnsi="Calibri" w:eastAsia="宋体"/>
      <w:kern w:val="2"/>
      <w:sz w:val="21"/>
      <w:szCs w:val="22"/>
      <w:lang w:val="en-US" w:eastAsia="zh-CN" w:bidi="ar-SA"/>
    </w:rPr>
  </w:style>
  <w:style w:type="character" w:customStyle="1" w:styleId="48">
    <w:name w:val="纯文本 Char"/>
    <w:link w:val="49"/>
    <w:qFormat/>
    <w:locked/>
    <w:uiPriority w:val="99"/>
    <w:rPr>
      <w:rFonts w:ascii="宋体" w:hAnsi="Courier New"/>
      <w:sz w:val="21"/>
      <w:szCs w:val="21"/>
      <w:lang w:bidi="ar-SA"/>
    </w:rPr>
  </w:style>
  <w:style w:type="paragraph" w:customStyle="1" w:styleId="49">
    <w:name w:val="纯文本1"/>
    <w:basedOn w:val="1"/>
    <w:link w:val="48"/>
    <w:qFormat/>
    <w:uiPriority w:val="99"/>
    <w:rPr>
      <w:rFonts w:ascii="宋体" w:hAnsi="Courier New"/>
      <w:kern w:val="0"/>
      <w:szCs w:val="21"/>
    </w:rPr>
  </w:style>
  <w:style w:type="character" w:customStyle="1" w:styleId="50">
    <w:name w:val="icontext3"/>
    <w:basedOn w:val="12"/>
    <w:qFormat/>
    <w:uiPriority w:val="0"/>
  </w:style>
  <w:style w:type="character" w:customStyle="1" w:styleId="51">
    <w:name w:val="icontext2"/>
    <w:basedOn w:val="12"/>
    <w:qFormat/>
    <w:uiPriority w:val="0"/>
  </w:style>
  <w:style w:type="character" w:customStyle="1" w:styleId="52">
    <w:name w:val="layui-layer-tabnow"/>
    <w:basedOn w:val="12"/>
    <w:qFormat/>
    <w:uiPriority w:val="0"/>
    <w:rPr>
      <w:bdr w:val="single" w:color="CCCCCC" w:sz="6" w:space="0"/>
      <w:shd w:val="clear" w:color="auto" w:fill="FFFFFF"/>
    </w:rPr>
  </w:style>
  <w:style w:type="character" w:customStyle="1" w:styleId="53">
    <w:name w:val="iconline2"/>
    <w:basedOn w:val="12"/>
    <w:qFormat/>
    <w:uiPriority w:val="0"/>
  </w:style>
  <w:style w:type="character" w:customStyle="1" w:styleId="54">
    <w:name w:val="iconline21"/>
    <w:basedOn w:val="12"/>
    <w:qFormat/>
    <w:uiPriority w:val="0"/>
  </w:style>
  <w:style w:type="character" w:customStyle="1" w:styleId="55">
    <w:name w:val="drapbtn"/>
    <w:basedOn w:val="12"/>
    <w:qFormat/>
    <w:uiPriority w:val="0"/>
  </w:style>
  <w:style w:type="character" w:customStyle="1" w:styleId="56">
    <w:name w:val="tmpztreemove_arrow"/>
    <w:basedOn w:val="12"/>
    <w:qFormat/>
    <w:uiPriority w:val="0"/>
  </w:style>
  <w:style w:type="character" w:customStyle="1" w:styleId="57">
    <w:name w:val="after"/>
    <w:basedOn w:val="12"/>
    <w:qFormat/>
    <w:uiPriority w:val="0"/>
    <w:rPr>
      <w:sz w:val="0"/>
      <w:szCs w:val="0"/>
    </w:rPr>
  </w:style>
  <w:style w:type="character" w:customStyle="1" w:styleId="58">
    <w:name w:val="associateddata"/>
    <w:basedOn w:val="12"/>
    <w:qFormat/>
    <w:uiPriority w:val="0"/>
    <w:rPr>
      <w:shd w:val="clear" w:color="auto" w:fill="50A6F9"/>
    </w:rPr>
  </w:style>
  <w:style w:type="character" w:customStyle="1" w:styleId="59">
    <w:name w:val="pagechatarealistclose_box"/>
    <w:basedOn w:val="12"/>
    <w:qFormat/>
    <w:uiPriority w:val="0"/>
  </w:style>
  <w:style w:type="character" w:customStyle="1" w:styleId="60">
    <w:name w:val="pagechatarealistclose_box1"/>
    <w:basedOn w:val="12"/>
    <w:qFormat/>
    <w:uiPriority w:val="0"/>
  </w:style>
  <w:style w:type="character" w:customStyle="1" w:styleId="61">
    <w:name w:val="ico1656"/>
    <w:basedOn w:val="12"/>
    <w:qFormat/>
    <w:uiPriority w:val="0"/>
  </w:style>
  <w:style w:type="character" w:customStyle="1" w:styleId="62">
    <w:name w:val="ico1657"/>
    <w:basedOn w:val="12"/>
    <w:qFormat/>
    <w:uiPriority w:val="0"/>
  </w:style>
  <w:style w:type="character" w:customStyle="1" w:styleId="63">
    <w:name w:val="cdropright"/>
    <w:basedOn w:val="12"/>
    <w:qFormat/>
    <w:uiPriority w:val="0"/>
  </w:style>
  <w:style w:type="character" w:customStyle="1" w:styleId="64">
    <w:name w:val="first-child"/>
    <w:basedOn w:val="12"/>
    <w:qFormat/>
    <w:uiPriority w:val="0"/>
  </w:style>
  <w:style w:type="character" w:customStyle="1" w:styleId="65">
    <w:name w:val="choosename"/>
    <w:basedOn w:val="12"/>
    <w:qFormat/>
    <w:uiPriority w:val="0"/>
  </w:style>
  <w:style w:type="character" w:customStyle="1" w:styleId="66">
    <w:name w:val="active"/>
    <w:basedOn w:val="12"/>
    <w:qFormat/>
    <w:uiPriority w:val="0"/>
    <w:rPr>
      <w:color w:val="00FF00"/>
      <w:shd w:val="clear" w:color="auto" w:fill="111111"/>
    </w:rPr>
  </w:style>
  <w:style w:type="character" w:customStyle="1" w:styleId="67">
    <w:name w:val="active1"/>
    <w:basedOn w:val="12"/>
    <w:qFormat/>
    <w:uiPriority w:val="0"/>
    <w:rPr>
      <w:shd w:val="clear" w:color="auto" w:fill="EC3535"/>
    </w:rPr>
  </w:style>
  <w:style w:type="character" w:customStyle="1" w:styleId="68">
    <w:name w:val="cy"/>
    <w:basedOn w:val="12"/>
    <w:qFormat/>
    <w:uiPriority w:val="0"/>
  </w:style>
  <w:style w:type="character" w:customStyle="1" w:styleId="69">
    <w:name w:val="hilite6"/>
    <w:basedOn w:val="12"/>
    <w:qFormat/>
    <w:uiPriority w:val="0"/>
    <w:rPr>
      <w:color w:val="FFFFFF"/>
      <w:shd w:val="clear" w:color="auto" w:fill="666666"/>
    </w:rPr>
  </w:style>
  <w:style w:type="character" w:customStyle="1" w:styleId="70">
    <w:name w:val="button"/>
    <w:basedOn w:val="12"/>
    <w:qFormat/>
    <w:uiPriority w:val="0"/>
  </w:style>
  <w:style w:type="character" w:customStyle="1" w:styleId="71">
    <w:name w:val="icontext1"/>
    <w:basedOn w:val="12"/>
    <w:qFormat/>
    <w:uiPriority w:val="0"/>
  </w:style>
  <w:style w:type="character" w:customStyle="1" w:styleId="72">
    <w:name w:val="icontext11"/>
    <w:basedOn w:val="12"/>
    <w:qFormat/>
    <w:uiPriority w:val="0"/>
  </w:style>
  <w:style w:type="character" w:customStyle="1" w:styleId="73">
    <w:name w:val="icontext12"/>
    <w:basedOn w:val="12"/>
    <w:qFormat/>
    <w:uiPriority w:val="0"/>
  </w:style>
  <w:style w:type="character" w:customStyle="1" w:styleId="74">
    <w:name w:val="cdropleft"/>
    <w:basedOn w:val="12"/>
    <w:qFormat/>
    <w:uiPriority w:val="0"/>
  </w:style>
  <w:style w:type="character" w:customStyle="1" w:styleId="75">
    <w:name w:val="w32"/>
    <w:basedOn w:val="12"/>
    <w:qFormat/>
    <w:uiPriority w:val="0"/>
  </w:style>
  <w:style w:type="character" w:customStyle="1" w:styleId="76">
    <w:name w:val="hover41"/>
    <w:basedOn w:val="12"/>
    <w:qFormat/>
    <w:uiPriority w:val="0"/>
    <w:rPr>
      <w:color w:val="FFFFFF"/>
    </w:rPr>
  </w:style>
  <w:style w:type="character" w:customStyle="1" w:styleId="77">
    <w:name w:val="button4"/>
    <w:basedOn w:val="12"/>
    <w:qFormat/>
    <w:uiPriority w:val="0"/>
  </w:style>
  <w:style w:type="character" w:customStyle="1" w:styleId="78">
    <w:name w:val="ico16"/>
    <w:basedOn w:val="12"/>
    <w:qFormat/>
    <w:uiPriority w:val="0"/>
  </w:style>
  <w:style w:type="character" w:customStyle="1" w:styleId="79">
    <w:name w:val="ico161"/>
    <w:basedOn w:val="12"/>
    <w:qFormat/>
    <w:uiPriority w:val="0"/>
  </w:style>
  <w:style w:type="character" w:customStyle="1" w:styleId="80">
    <w:name w:val="hover35"/>
    <w:basedOn w:val="12"/>
    <w:qFormat/>
    <w:uiPriority w:val="0"/>
    <w:rPr>
      <w:color w:val="FFFFFF"/>
    </w:rPr>
  </w:style>
  <w:style w:type="character" w:customStyle="1" w:styleId="81">
    <w:name w:val="active2"/>
    <w:basedOn w:val="12"/>
    <w:qFormat/>
    <w:uiPriority w:val="0"/>
    <w:rPr>
      <w:color w:val="00FF00"/>
      <w:shd w:val="clear" w:color="auto" w:fill="111111"/>
    </w:rPr>
  </w:style>
  <w:style w:type="character" w:customStyle="1" w:styleId="82">
    <w:name w:val="active3"/>
    <w:basedOn w:val="12"/>
    <w:qFormat/>
    <w:uiPriority w:val="0"/>
    <w:rPr>
      <w:shd w:val="clear" w:color="auto" w:fill="EC3535"/>
    </w:rPr>
  </w:style>
  <w:style w:type="character" w:customStyle="1" w:styleId="83">
    <w:name w:val="hilite5"/>
    <w:basedOn w:val="12"/>
    <w:qFormat/>
    <w:uiPriority w:val="0"/>
    <w:rPr>
      <w:color w:val="FFFFFF"/>
      <w:shd w:val="clear" w:color="auto" w:fill="666666"/>
    </w:rPr>
  </w:style>
  <w:style w:type="character" w:customStyle="1" w:styleId="84">
    <w:name w:val="ico1655"/>
    <w:basedOn w:val="12"/>
    <w:qFormat/>
    <w:uiPriority w:val="0"/>
  </w:style>
  <w:style w:type="character" w:customStyle="1" w:styleId="85">
    <w:name w:val="hilite"/>
    <w:basedOn w:val="12"/>
    <w:qFormat/>
    <w:uiPriority w:val="0"/>
    <w:rPr>
      <w:color w:val="FFFFFF"/>
      <w:shd w:val="clear" w:color="auto" w:fill="666666"/>
    </w:rPr>
  </w:style>
  <w:style w:type="character" w:customStyle="1" w:styleId="86">
    <w:name w:val="active7"/>
    <w:basedOn w:val="12"/>
    <w:qFormat/>
    <w:uiPriority w:val="0"/>
    <w:rPr>
      <w:color w:val="00FF00"/>
      <w:shd w:val="clear" w:color="auto" w:fill="111111"/>
    </w:rPr>
  </w:style>
  <w:style w:type="character" w:customStyle="1" w:styleId="87">
    <w:name w:val="active8"/>
    <w:basedOn w:val="12"/>
    <w:qFormat/>
    <w:uiPriority w:val="0"/>
    <w:rPr>
      <w:shd w:val="clear" w:color="auto" w:fill="EC3535"/>
    </w:rPr>
  </w:style>
  <w:style w:type="character" w:customStyle="1" w:styleId="88">
    <w:name w:val="active6"/>
    <w:basedOn w:val="12"/>
    <w:qFormat/>
    <w:uiPriority w:val="0"/>
    <w:rPr>
      <w:color w:val="00FF00"/>
      <w:shd w:val="clear" w:color="auto" w:fill="111111"/>
    </w:rPr>
  </w:style>
  <w:style w:type="character" w:customStyle="1" w:styleId="89">
    <w:name w:val="button3"/>
    <w:basedOn w:val="12"/>
    <w:qFormat/>
    <w:uiPriority w:val="0"/>
  </w:style>
  <w:style w:type="character" w:customStyle="1" w:styleId="90">
    <w:name w:val="active5"/>
    <w:basedOn w:val="12"/>
    <w:qFormat/>
    <w:uiPriority w:val="0"/>
    <w:rPr>
      <w:color w:val="00FF00"/>
      <w:shd w:val="clear" w:color="auto" w:fill="111111"/>
    </w:rPr>
  </w:style>
  <w:style w:type="character" w:customStyle="1" w:styleId="91">
    <w:name w:val="button5"/>
    <w:basedOn w:val="12"/>
    <w:qFormat/>
    <w:uiPriority w:val="0"/>
  </w:style>
  <w:style w:type="character" w:customStyle="1" w:styleId="92">
    <w:name w:val="hover38"/>
    <w:basedOn w:val="12"/>
    <w:qFormat/>
    <w:uiPriority w:val="0"/>
    <w:rPr>
      <w:color w:val="FFFFFF"/>
    </w:rPr>
  </w:style>
  <w:style w:type="paragraph" w:customStyle="1" w:styleId="93">
    <w:name w:val="列出段落1"/>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2.png"/><Relationship Id="rId7" Type="http://schemas.openxmlformats.org/officeDocument/2006/relationships/image" Target="media/image1.emf"/><Relationship Id="rId6" Type="http://schemas.openxmlformats.org/officeDocument/2006/relationships/oleObject" Target="embeddings/oleObject1.bin"/><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chart" Target="charts/chart1.xml"/><Relationship Id="rId52" Type="http://schemas.openxmlformats.org/officeDocument/2006/relationships/image" Target="media/image41.png"/><Relationship Id="rId51" Type="http://schemas.openxmlformats.org/officeDocument/2006/relationships/image" Target="media/image40.emf"/><Relationship Id="rId50" Type="http://schemas.openxmlformats.org/officeDocument/2006/relationships/oleObject" Target="embeddings/oleObject6.bin"/><Relationship Id="rId5" Type="http://schemas.openxmlformats.org/officeDocument/2006/relationships/theme" Target="theme/theme1.xml"/><Relationship Id="rId49" Type="http://schemas.openxmlformats.org/officeDocument/2006/relationships/image" Target="media/image39.emf"/><Relationship Id="rId48" Type="http://schemas.openxmlformats.org/officeDocument/2006/relationships/oleObject" Target="embeddings/oleObject5.bin"/><Relationship Id="rId47" Type="http://schemas.openxmlformats.org/officeDocument/2006/relationships/image" Target="media/image38.emf"/><Relationship Id="rId46" Type="http://schemas.openxmlformats.org/officeDocument/2006/relationships/oleObject" Target="embeddings/oleObject4.bin"/><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jpeg"/><Relationship Id="rId4" Type="http://schemas.openxmlformats.org/officeDocument/2006/relationships/footer" Target="footer1.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emf"/><Relationship Id="rId11" Type="http://schemas.openxmlformats.org/officeDocument/2006/relationships/oleObject" Target="embeddings/oleObject3.bin"/><Relationship Id="rId10" Type="http://schemas.openxmlformats.org/officeDocument/2006/relationships/image" Target="media/image3.emf"/><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D:\&#31038;&#20445;&#21345;\2018-2020&#24800;&#27665;&#19987;&#21002;\2020\4&#23395;&#24230;\&#34920;&#26684;&#21046;&#203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50377562028047"/>
          <c:y val="0.115089446887572"/>
          <c:w val="0.872995639021669"/>
          <c:h val="0.711253570997108"/>
        </c:manualLayout>
      </c:layout>
      <c:barChart>
        <c:barDir val="col"/>
        <c:grouping val="clustered"/>
        <c:varyColors val="0"/>
        <c:ser>
          <c:idx val="0"/>
          <c:order val="0"/>
          <c:tx>
            <c:strRef>
              <c:f>[表格制作.xlsx]Sheet2!$B$1</c:f>
              <c:strCache>
                <c:ptCount val="1"/>
                <c:pt idx="0">
                  <c:v>总发卡数(万张)</c:v>
                </c:pt>
              </c:strCache>
            </c:strRef>
          </c:tx>
          <c:spPr>
            <a:gradFill rotWithShape="1">
              <a:gsLst>
                <a:gs pos="0">
                  <a:srgbClr val="2C5D98">
                    <a:shade val="51000"/>
                    <a:satMod val="130000"/>
                  </a:srgbClr>
                </a:gs>
                <a:gs pos="80000">
                  <a:srgbClr val="3C7BC7">
                    <a:shade val="93000"/>
                    <a:satMod val="130000"/>
                  </a:srgbClr>
                </a:gs>
                <a:gs pos="100000">
                  <a:srgbClr val="3A7CCB">
                    <a:shade val="94000"/>
                    <a:satMod val="135000"/>
                  </a:srgbClr>
                </a:gs>
              </a:gsLst>
              <a:lin ang="16200000" scaled="0"/>
            </a:gradFill>
            <a:ln>
              <a:noFill/>
            </a:ln>
            <a:effectLst>
              <a:outerShdw blurRad="40000" dist="23000" dir="5400000" rotWithShape="0">
                <a:srgbClr val="000000">
                  <a:alpha val="35000"/>
                </a:srgbClr>
              </a:outerShdw>
            </a:effectLst>
          </c:spPr>
          <c:invertIfNegative val="0"/>
          <c:dLbls>
            <c:dLbl>
              <c:idx val="0"/>
              <c:layout/>
              <c:tx>
                <c:rich>
                  <a:bodyPr rot="0" spcFirstLastPara="0" vertOverflow="ellipsis" vert="horz" wrap="square" lIns="38100" tIns="19050" rIns="38100" bIns="19050" anchor="ctr" anchorCtr="1"/>
                  <a:lstStyle/>
                  <a:p>
                    <a:pPr>
                      <a:defRPr lang="zh-CN" sz="900" b="0" i="0" u="none" strike="noStrike" kern="1200" baseline="0">
                        <a:solidFill>
                          <a:srgbClr val="1F497D"/>
                        </a:solidFill>
                        <a:latin typeface="+mn-lt"/>
                        <a:ea typeface="+mn-ea"/>
                        <a:cs typeface="+mn-cs"/>
                      </a:defRPr>
                    </a:pPr>
                    <a:r>
                      <a:rPr lang="en-US" altLang="en-US"/>
                      <a:t> 17.00 </a:t>
                    </a:r>
                    <a:endParaRPr lang="en-US" alt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zh-CN" sz="900" b="0" i="0" u="none" strike="noStrike" kern="1200" baseline="0">
                        <a:solidFill>
                          <a:srgbClr val="1F497D"/>
                        </a:solidFill>
                        <a:latin typeface="+mn-lt"/>
                        <a:ea typeface="+mn-ea"/>
                        <a:cs typeface="+mn-cs"/>
                      </a:defRPr>
                    </a:pPr>
                    <a:r>
                      <a:rPr lang="en-US" altLang="en-US"/>
                      <a:t> 26.07 </a:t>
                    </a:r>
                    <a:endParaRPr lang="en-US" alt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a:defRPr lang="zh-CN" sz="900" b="0" i="0" u="none" strike="noStrike" kern="1200" baseline="0">
                        <a:solidFill>
                          <a:srgbClr val="1F497D"/>
                        </a:solidFill>
                        <a:latin typeface="+mn-lt"/>
                        <a:ea typeface="+mn-ea"/>
                        <a:cs typeface="+mn-cs"/>
                      </a:defRPr>
                    </a:pPr>
                    <a:r>
                      <a:rPr lang="en-US" altLang="en-US"/>
                      <a:t> 28.67 </a:t>
                    </a:r>
                    <a:endParaRPr lang="en-US" alt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a:defRPr lang="zh-CN" sz="900" b="0" i="0" u="none" strike="noStrike" kern="1200" baseline="0">
                        <a:solidFill>
                          <a:srgbClr val="1F497D"/>
                        </a:solidFill>
                        <a:latin typeface="+mn-lt"/>
                        <a:ea typeface="+mn-ea"/>
                        <a:cs typeface="+mn-cs"/>
                      </a:defRPr>
                    </a:pPr>
                    <a:r>
                      <a:rPr lang="en-US" altLang="en-US"/>
                      <a:t> 34.12 </a:t>
                    </a:r>
                    <a:endParaRPr lang="en-US" alt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4"/>
              <c:layout/>
              <c:tx>
                <c:rich>
                  <a:bodyPr rot="0" spcFirstLastPara="0" vertOverflow="ellipsis" vert="horz" wrap="square" lIns="38100" tIns="19050" rIns="38100" bIns="19050" anchor="ctr" anchorCtr="1"/>
                  <a:lstStyle/>
                  <a:p>
                    <a:pPr>
                      <a:defRPr lang="zh-CN" sz="900" b="0" i="0" u="none" strike="noStrike" kern="1200" baseline="0">
                        <a:solidFill>
                          <a:srgbClr val="1F497D"/>
                        </a:solidFill>
                        <a:latin typeface="+mn-lt"/>
                        <a:ea typeface="+mn-ea"/>
                        <a:cs typeface="+mn-cs"/>
                      </a:defRPr>
                    </a:pPr>
                    <a:r>
                      <a:rPr lang="en-US" altLang="en-US"/>
                      <a:t> 540.64 </a:t>
                    </a:r>
                    <a:endParaRPr lang="en-US" alt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5"/>
              <c:layout/>
              <c:tx>
                <c:rich>
                  <a:bodyPr rot="0" spcFirstLastPara="0" vertOverflow="ellipsis" vert="horz" wrap="square" lIns="38100" tIns="19050" rIns="38100" bIns="19050" anchor="ctr" anchorCtr="1"/>
                  <a:lstStyle/>
                  <a:p>
                    <a:pPr>
                      <a:defRPr lang="zh-CN" sz="900" b="0" i="0" u="none" strike="noStrike" kern="1200" baseline="0">
                        <a:solidFill>
                          <a:srgbClr val="1F497D"/>
                        </a:solidFill>
                        <a:latin typeface="+mn-lt"/>
                        <a:ea typeface="+mn-ea"/>
                        <a:cs typeface="+mn-cs"/>
                      </a:defRPr>
                    </a:pPr>
                    <a:r>
                      <a:rPr lang="en-US" altLang="en-US"/>
                      <a:t> 62.92 </a:t>
                    </a:r>
                    <a:endParaRPr lang="en-US" alt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7"/>
              <c:layout/>
              <c:tx>
                <c:rich>
                  <a:bodyPr rot="0" spcFirstLastPara="0" vertOverflow="ellipsis" vert="horz" wrap="square" lIns="38100" tIns="19050" rIns="38100" bIns="19050" anchor="ctr" anchorCtr="1"/>
                  <a:lstStyle/>
                  <a:p>
                    <a:pPr>
                      <a:defRPr lang="zh-CN" sz="900" b="0" i="0" u="none" strike="noStrike" kern="1200" baseline="0">
                        <a:solidFill>
                          <a:srgbClr val="1F497D"/>
                        </a:solidFill>
                        <a:latin typeface="+mn-lt"/>
                        <a:ea typeface="+mn-ea"/>
                        <a:cs typeface="+mn-cs"/>
                      </a:defRPr>
                    </a:pPr>
                    <a:r>
                      <a:rPr lang="en-US" altLang="en-US"/>
                      <a:t> 2.84 </a:t>
                    </a:r>
                    <a:endParaRPr lang="en-US" alt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1F497D"/>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[表格制作.xlsx]Sheet2!$A$2:$A$9</c:f>
              <c:strCache>
                <c:ptCount val="8"/>
                <c:pt idx="0">
                  <c:v>中国银行</c:v>
                </c:pt>
                <c:pt idx="1">
                  <c:v>农业银行</c:v>
                </c:pt>
                <c:pt idx="2">
                  <c:v>工商银行</c:v>
                </c:pt>
                <c:pt idx="3">
                  <c:v>建设银行</c:v>
                </c:pt>
                <c:pt idx="4">
                  <c:v>黄河银行</c:v>
                </c:pt>
                <c:pt idx="5">
                  <c:v>宁夏银行</c:v>
                </c:pt>
                <c:pt idx="6">
                  <c:v>中信银行</c:v>
                </c:pt>
                <c:pt idx="7">
                  <c:v>招商银行</c:v>
                </c:pt>
              </c:strCache>
            </c:strRef>
          </c:cat>
          <c:val>
            <c:numRef>
              <c:f>[表格制作.xlsx]Sheet2!$B$2:$B$9</c:f>
              <c:numCache>
                <c:formatCode>_(* #,##0.00_);_(* \(#,##0.00\);_(* "-"??_);_(@_)</c:formatCode>
                <c:ptCount val="8"/>
                <c:pt idx="0">
                  <c:v>16.89</c:v>
                </c:pt>
                <c:pt idx="1">
                  <c:v>25.71</c:v>
                </c:pt>
                <c:pt idx="2">
                  <c:v>28.44</c:v>
                </c:pt>
                <c:pt idx="3">
                  <c:v>33.8</c:v>
                </c:pt>
                <c:pt idx="4">
                  <c:v>534.74</c:v>
                </c:pt>
                <c:pt idx="5">
                  <c:v>62.01</c:v>
                </c:pt>
                <c:pt idx="6">
                  <c:v>2.16</c:v>
                </c:pt>
                <c:pt idx="7">
                  <c:v>2.81</c:v>
                </c:pt>
              </c:numCache>
            </c:numRef>
          </c:val>
        </c:ser>
        <c:dLbls>
          <c:showLegendKey val="0"/>
          <c:showVal val="0"/>
          <c:showCatName val="0"/>
          <c:showSerName val="0"/>
          <c:showPercent val="0"/>
          <c:showBubbleSize val="0"/>
        </c:dLbls>
        <c:gapWidth val="150"/>
        <c:axId val="51202048"/>
        <c:axId val="95106688"/>
      </c:barChart>
      <c:lineChart>
        <c:grouping val="stacked"/>
        <c:varyColors val="0"/>
        <c:ser>
          <c:idx val="1"/>
          <c:order val="1"/>
          <c:tx>
            <c:strRef>
              <c:f>[表格制作.xlsx]Sheet2!$C$1</c:f>
              <c:strCache>
                <c:ptCount val="1"/>
                <c:pt idx="0">
                  <c:v>金融功能激活率(%)</c:v>
                </c:pt>
              </c:strCache>
            </c:strRef>
          </c:tx>
          <c:spPr>
            <a:ln w="31750" cap="rnd" cmpd="sng" algn="ctr">
              <a:solidFill>
                <a:srgbClr val="C0504D"/>
              </a:solidFill>
              <a:prstDash val="solid"/>
              <a:round/>
            </a:ln>
            <a:effectLst>
              <a:outerShdw blurRad="40000" dist="23000" dir="5400000" rotWithShape="0">
                <a:srgbClr val="000000">
                  <a:alpha val="35000"/>
                </a:srgbClr>
              </a:outerShdw>
            </a:effectLst>
          </c:spPr>
          <c:marker>
            <c:symbol val="circle"/>
            <c:size val="6"/>
            <c:spPr>
              <a:gradFill rotWithShape="1">
                <a:gsLst>
                  <a:gs pos="0">
                    <a:srgbClr val="9B2D2A">
                      <a:shade val="51000"/>
                      <a:satMod val="130000"/>
                    </a:srgbClr>
                  </a:gs>
                  <a:gs pos="80000">
                    <a:srgbClr val="CB3D3A">
                      <a:shade val="93000"/>
                      <a:satMod val="130000"/>
                    </a:srgbClr>
                  </a:gs>
                  <a:gs pos="100000">
                    <a:srgbClr val="CE3B37">
                      <a:shade val="94000"/>
                      <a:satMod val="135000"/>
                    </a:srgbClr>
                  </a:gs>
                </a:gsLst>
                <a:lin ang="16200000" scaled="0"/>
              </a:gradFill>
              <a:ln w="12700" cap="flat" cmpd="sng" algn="ctr">
                <a:solidFill>
                  <a:srgbClr val="EEECE1"/>
                </a:solidFill>
                <a:prstDash val="solid"/>
                <a:round/>
              </a:ln>
              <a:effectLst>
                <a:outerShdw blurRad="40000" dist="23000" dir="5400000" rotWithShape="0">
                  <a:srgbClr val="000000">
                    <a:alpha val="35000"/>
                  </a:srgbClr>
                </a:outerShdw>
              </a:effectLst>
            </c:spPr>
          </c:marker>
          <c:dLbls>
            <c:dLbl>
              <c:idx val="0"/>
              <c:layout>
                <c:manualLayout>
                  <c:x val="-0.040453074433657"/>
                  <c:y val="0.0696482234399859"/>
                </c:manualLayout>
              </c:layout>
              <c:tx>
                <c:rich>
                  <a:bodyPr rot="0" spcFirstLastPara="0" vertOverflow="ellipsis" vert="horz" wrap="square" lIns="38100" tIns="19050" rIns="38100" bIns="19050" anchor="ctr" anchorCtr="1"/>
                  <a:lstStyle/>
                  <a:p>
                    <a:pPr>
                      <a:defRPr lang="zh-CN" sz="900" b="0" i="0" u="none" strike="noStrike" kern="1200" baseline="0">
                        <a:solidFill>
                          <a:srgbClr val="1F497D"/>
                        </a:solidFill>
                        <a:latin typeface="+mn-lt"/>
                        <a:ea typeface="+mn-ea"/>
                        <a:cs typeface="+mn-cs"/>
                      </a:defRPr>
                    </a:pPr>
                    <a:r>
                      <a:rPr lang="en-US" altLang="en-US"/>
                      <a:t>63.10%</a:t>
                    </a:r>
                    <a:endParaRPr lang="en-US" altLang="en-US"/>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415599813528005"/>
                  <c:y val="-0.0459636461776262"/>
                </c:manualLayout>
              </c:layout>
              <c:tx>
                <c:rich>
                  <a:bodyPr rot="0" spcFirstLastPara="0" vertOverflow="ellipsis" vert="horz" wrap="square" lIns="38100" tIns="19050" rIns="38100" bIns="19050" anchor="ctr" anchorCtr="1"/>
                  <a:lstStyle/>
                  <a:p>
                    <a:pPr>
                      <a:defRPr lang="zh-CN" sz="900" b="0" i="0" u="none" strike="noStrike" kern="1200" baseline="0">
                        <a:solidFill>
                          <a:srgbClr val="1F497D"/>
                        </a:solidFill>
                        <a:latin typeface="+mn-lt"/>
                        <a:ea typeface="+mn-ea"/>
                        <a:cs typeface="+mn-cs"/>
                      </a:defRPr>
                    </a:pPr>
                    <a:r>
                      <a:rPr lang="en-US" altLang="en-US"/>
                      <a:t>81.00%</a:t>
                    </a:r>
                    <a:endParaRPr lang="en-US" altLang="en-US"/>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63538295577131"/>
                  <c:y val="0.0397737316598904"/>
                </c:manualLayout>
              </c:layout>
              <c:tx>
                <c:rich>
                  <a:bodyPr rot="0" spcFirstLastPara="0" vertOverflow="ellipsis" vert="horz" wrap="square" lIns="38100" tIns="19050" rIns="38100" bIns="19050" anchor="ctr" anchorCtr="1"/>
                  <a:lstStyle/>
                  <a:p>
                    <a:pPr>
                      <a:defRPr lang="zh-CN" sz="900" b="0" i="0" u="none" strike="noStrike" kern="1200" baseline="0">
                        <a:solidFill>
                          <a:srgbClr val="1F497D"/>
                        </a:solidFill>
                        <a:latin typeface="+mn-lt"/>
                        <a:ea typeface="+mn-ea"/>
                        <a:cs typeface="+mn-cs"/>
                      </a:defRPr>
                    </a:pPr>
                    <a:r>
                      <a:rPr lang="en-US" altLang="en-US"/>
                      <a:t>41.71%</a:t>
                    </a:r>
                    <a:endParaRPr lang="en-US" altLang="en-US"/>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707659115426106"/>
                  <c:y val="-0.0563903128866891"/>
                </c:manualLayout>
              </c:layout>
              <c:tx>
                <c:rich>
                  <a:bodyPr rot="0" spcFirstLastPara="0" vertOverflow="ellipsis" vert="horz" wrap="square" lIns="38100" tIns="19050" rIns="38100" bIns="19050" anchor="ctr" anchorCtr="1"/>
                  <a:lstStyle/>
                  <a:p>
                    <a:pPr>
                      <a:defRPr lang="zh-CN" sz="900" b="0" i="0" u="none" strike="noStrike" kern="1200" baseline="0">
                        <a:solidFill>
                          <a:srgbClr val="1F497D"/>
                        </a:solidFill>
                        <a:latin typeface="+mn-lt"/>
                        <a:ea typeface="+mn-ea"/>
                        <a:cs typeface="+mn-cs"/>
                      </a:defRPr>
                    </a:pPr>
                    <a:r>
                      <a:rPr lang="en-US" altLang="en-US"/>
                      <a:t>63.70%</a:t>
                    </a:r>
                    <a:endParaRPr lang="en-US" altLang="en-US"/>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204962243797195"/>
                  <c:y val="-0.0464910730068941"/>
                </c:manualLayout>
              </c:layout>
              <c:tx>
                <c:rich>
                  <a:bodyPr rot="0" spcFirstLastPara="0" vertOverflow="ellipsis" vert="horz" wrap="square" lIns="38100" tIns="19050" rIns="38100" bIns="19050" anchor="ctr" anchorCtr="1"/>
                  <a:lstStyle/>
                  <a:p>
                    <a:pPr>
                      <a:defRPr lang="zh-CN" sz="900" b="0" i="0" u="none" strike="noStrike" kern="1200" baseline="0">
                        <a:solidFill>
                          <a:srgbClr val="1F497D"/>
                        </a:solidFill>
                        <a:latin typeface="+mn-lt"/>
                        <a:ea typeface="+mn-ea"/>
                        <a:cs typeface="+mn-cs"/>
                      </a:defRPr>
                    </a:pPr>
                    <a:r>
                      <a:rPr lang="en-US" altLang="en-US"/>
                      <a:t>66.63%</a:t>
                    </a:r>
                    <a:endParaRPr lang="en-US" altLang="en-US"/>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485436893203883"/>
                  <c:y val="0.0528548700724766"/>
                </c:manualLayout>
              </c:layout>
              <c:tx>
                <c:rich>
                  <a:bodyPr rot="0" spcFirstLastPara="0" vertOverflow="ellipsis" vert="horz" wrap="square" lIns="38100" tIns="19050" rIns="38100" bIns="19050" anchor="ctr" anchorCtr="1"/>
                  <a:lstStyle/>
                  <a:p>
                    <a:pPr>
                      <a:defRPr lang="zh-CN" sz="900" b="0" i="0" u="none" strike="noStrike" kern="1200" baseline="0">
                        <a:solidFill>
                          <a:srgbClr val="1F497D"/>
                        </a:solidFill>
                        <a:latin typeface="+mn-lt"/>
                        <a:ea typeface="+mn-ea"/>
                        <a:cs typeface="+mn-cs"/>
                      </a:defRPr>
                    </a:pPr>
                    <a:r>
                      <a:rPr lang="en-US" altLang="en-US"/>
                      <a:t>75.92%</a:t>
                    </a:r>
                    <a:endParaRPr lang="en-US" altLang="en-US"/>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467098166127292"/>
                  <c:y val="-0.0595722114194803"/>
                </c:manualLayout>
              </c:layout>
              <c:tx>
                <c:rich>
                  <a:bodyPr rot="0" spcFirstLastPara="0" vertOverflow="ellipsis" vert="horz" wrap="square" lIns="38100" tIns="19050" rIns="38100" bIns="19050" anchor="ctr" anchorCtr="1"/>
                  <a:lstStyle/>
                  <a:p>
                    <a:pPr>
                      <a:defRPr lang="zh-CN" sz="900" b="0" i="0" u="none" strike="noStrike" kern="1200" baseline="0">
                        <a:solidFill>
                          <a:srgbClr val="1F497D"/>
                        </a:solidFill>
                        <a:latin typeface="+mn-lt"/>
                        <a:ea typeface="+mn-ea"/>
                        <a:cs typeface="+mn-cs"/>
                      </a:defRPr>
                    </a:pPr>
                    <a:r>
                      <a:rPr lang="en-US" altLang="en-US"/>
                      <a:t>71.00%</a:t>
                    </a:r>
                    <a:endParaRPr lang="en-US" altLang="en-US"/>
                  </a:p>
                </c:rich>
              </c:tx>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466019417475728"/>
                  <c:y val="-0.0563903128866891"/>
                </c:manualLayout>
              </c:layout>
              <c:tx>
                <c:rich>
                  <a:bodyPr rot="0" spcFirstLastPara="0" vertOverflow="ellipsis" vert="horz" wrap="square" lIns="38100" tIns="19050" rIns="38100" bIns="19050" anchor="ctr" anchorCtr="1"/>
                  <a:lstStyle/>
                  <a:p>
                    <a:pPr>
                      <a:defRPr lang="zh-CN" sz="900" b="0" i="0" u="none" strike="noStrike" kern="1200" baseline="0">
                        <a:solidFill>
                          <a:srgbClr val="1F497D"/>
                        </a:solidFill>
                        <a:latin typeface="+mn-lt"/>
                        <a:ea typeface="+mn-ea"/>
                        <a:cs typeface="+mn-cs"/>
                      </a:defRPr>
                    </a:pPr>
                    <a:r>
                      <a:rPr lang="en-US" altLang="en-US"/>
                      <a:t>66.00%</a:t>
                    </a:r>
                    <a:endParaRPr lang="en-US" altLang="en-US"/>
                  </a:p>
                </c:rich>
              </c:tx>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1F497D"/>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[表格制作.xlsx]Sheet2!$A$2:$A$9</c:f>
              <c:strCache>
                <c:ptCount val="8"/>
                <c:pt idx="0">
                  <c:v>中国银行</c:v>
                </c:pt>
                <c:pt idx="1">
                  <c:v>农业银行</c:v>
                </c:pt>
                <c:pt idx="2">
                  <c:v>工商银行</c:v>
                </c:pt>
                <c:pt idx="3">
                  <c:v>建设银行</c:v>
                </c:pt>
                <c:pt idx="4">
                  <c:v>黄河银行</c:v>
                </c:pt>
                <c:pt idx="5">
                  <c:v>宁夏银行</c:v>
                </c:pt>
                <c:pt idx="6">
                  <c:v>中信银行</c:v>
                </c:pt>
                <c:pt idx="7">
                  <c:v>招商银行</c:v>
                </c:pt>
              </c:strCache>
            </c:strRef>
          </c:cat>
          <c:val>
            <c:numRef>
              <c:f>[表格制作.xlsx]Sheet2!$C$2:$C$9</c:f>
              <c:numCache>
                <c:formatCode>0.00%</c:formatCode>
                <c:ptCount val="8"/>
                <c:pt idx="0">
                  <c:v>0.634689165186501</c:v>
                </c:pt>
                <c:pt idx="1">
                  <c:v>0.738133022170362</c:v>
                </c:pt>
                <c:pt idx="2">
                  <c:v>0.408157524613221</c:v>
                </c:pt>
                <c:pt idx="3">
                  <c:v>0.9999</c:v>
                </c:pt>
                <c:pt idx="4">
                  <c:v>0.647825485282567</c:v>
                </c:pt>
                <c:pt idx="5">
                  <c:v>0.686200612804386</c:v>
                </c:pt>
                <c:pt idx="6">
                  <c:v>0.703657407407407</c:v>
                </c:pt>
                <c:pt idx="7">
                  <c:v>0.71288256227758</c:v>
                </c:pt>
              </c:numCache>
            </c:numRef>
          </c:val>
          <c:smooth val="0"/>
        </c:ser>
        <c:dLbls>
          <c:showLegendKey val="0"/>
          <c:showVal val="0"/>
          <c:showCatName val="0"/>
          <c:showSerName val="0"/>
          <c:showPercent val="0"/>
          <c:showBubbleSize val="0"/>
        </c:dLbls>
        <c:marker val="1"/>
        <c:smooth val="0"/>
        <c:axId val="51203072"/>
        <c:axId val="95103808"/>
      </c:lineChart>
      <c:catAx>
        <c:axId val="51202048"/>
        <c:scaling>
          <c:orientation val="minMax"/>
        </c:scaling>
        <c:delete val="0"/>
        <c:axPos val="b"/>
        <c:numFmt formatCode="General" sourceLinked="0"/>
        <c:majorTickMark val="out"/>
        <c:minorTickMark val="none"/>
        <c:tickLblPos val="nextTo"/>
        <c:spPr>
          <a:noFill/>
          <a:ln w="9525" cap="flat" cmpd="sng" algn="ctr">
            <a:solidFill>
              <a:srgbClr val="D4E3F4">
                <a:lumMod val="15000"/>
                <a:lumOff val="85000"/>
              </a:srgbClr>
            </a:solidFill>
            <a:prstDash val="solid"/>
            <a:round/>
          </a:ln>
          <a:effectLst/>
        </c:spPr>
        <c:txPr>
          <a:bodyPr rot="-60000000" spcFirstLastPara="0" vertOverflow="ellipsis" vert="horz" wrap="square" anchor="ctr" anchorCtr="1"/>
          <a:lstStyle/>
          <a:p>
            <a:pPr>
              <a:defRPr lang="zh-CN" sz="900" b="0" i="0" u="none" strike="noStrike" kern="1200" baseline="0">
                <a:solidFill>
                  <a:srgbClr val="1F497D"/>
                </a:solidFill>
                <a:latin typeface="+mn-lt"/>
                <a:ea typeface="+mn-ea"/>
                <a:cs typeface="+mn-cs"/>
              </a:defRPr>
            </a:pPr>
          </a:p>
        </c:txPr>
        <c:crossAx val="95106688"/>
        <c:crosses val="autoZero"/>
        <c:auto val="1"/>
        <c:lblAlgn val="ctr"/>
        <c:lblOffset val="100"/>
        <c:noMultiLvlLbl val="0"/>
      </c:catAx>
      <c:valAx>
        <c:axId val="95106688"/>
        <c:scaling>
          <c:orientation val="minMax"/>
        </c:scaling>
        <c:delete val="0"/>
        <c:axPos val="l"/>
        <c:majorGridlines>
          <c:spPr>
            <a:ln w="9525" cap="flat" cmpd="sng" algn="ctr">
              <a:solidFill>
                <a:srgbClr val="D4E3F4">
                  <a:lumMod val="15000"/>
                  <a:lumOff val="85000"/>
                </a:srgbClr>
              </a:solidFill>
              <a:prstDash val="solid"/>
              <a:round/>
            </a:ln>
            <a:effectLst/>
          </c:spPr>
        </c:majorGridlines>
        <c:numFmt formatCode="_(* #,##0.00_);_(* \(#,##0.00\);_(* &quot;-&quot;??_);_(@_)" sourceLinked="1"/>
        <c:majorTickMark val="out"/>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rgbClr val="1F497D"/>
                </a:solidFill>
                <a:latin typeface="+mn-lt"/>
                <a:ea typeface="+mn-ea"/>
                <a:cs typeface="+mn-cs"/>
              </a:defRPr>
            </a:pPr>
          </a:p>
        </c:txPr>
        <c:crossAx val="51202048"/>
        <c:crosses val="autoZero"/>
        <c:crossBetween val="between"/>
      </c:valAx>
      <c:catAx>
        <c:axId val="51203072"/>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95103808"/>
        <c:crosses val="autoZero"/>
        <c:auto val="1"/>
        <c:lblAlgn val="ctr"/>
        <c:lblOffset val="100"/>
        <c:noMultiLvlLbl val="0"/>
      </c:catAx>
      <c:valAx>
        <c:axId val="95103808"/>
        <c:scaling>
          <c:orientation val="minMax"/>
        </c:scaling>
        <c:delete val="0"/>
        <c:axPos val="r"/>
        <c:numFmt formatCode="0.00%" sourceLinked="1"/>
        <c:majorTickMark val="out"/>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rgbClr val="1F497D"/>
                </a:solidFill>
                <a:latin typeface="+mn-lt"/>
                <a:ea typeface="+mn-ea"/>
                <a:cs typeface="+mn-cs"/>
              </a:defRPr>
            </a:pPr>
          </a:p>
        </c:txPr>
        <c:crossAx val="51203072"/>
        <c:crosses val="max"/>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1F497D"/>
              </a:solidFill>
              <a:latin typeface="+mn-lt"/>
              <a:ea typeface="+mn-ea"/>
              <a:cs typeface="+mn-cs"/>
            </a:defRPr>
          </a:pPr>
        </a:p>
      </c:txPr>
    </c:legend>
    <c:plotVisOnly val="1"/>
    <c:dispBlanksAs val="zero"/>
    <c:showDLblsOverMax val="0"/>
  </c:chart>
  <c:spPr>
    <a:solidFill>
      <a:srgbClr val="FFFFFF"/>
    </a:solidFill>
    <a:ln w="12700" cap="flat" cmpd="sng" algn="ctr">
      <a:solidFill>
        <a:sysClr val="windowText" lastClr="000000"/>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698"/>
    <customShpInfo spid="_x0000_s16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59</Pages>
  <Words>3968</Words>
  <Characters>22620</Characters>
  <Lines>188</Lines>
  <Paragraphs>53</Paragraphs>
  <TotalTime>7</TotalTime>
  <ScaleCrop>false</ScaleCrop>
  <LinksUpToDate>false</LinksUpToDate>
  <CharactersWithSpaces>26535</CharactersWithSpaces>
  <Application>WPS Office_10.8.2.6726_F1E327BC-269C-435d-A152-05C5408002CA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2022-07-26T01:28:00Z</dcterms:created>
  <dc:creator>于芳</dc:creator>
  <cp:lastModifiedBy>李景夫</cp:lastModifiedBy>
  <cp:lastPrinted>2022-05-10T15:19:00Z</cp:lastPrinted>
  <dcterms:modified xsi:type="dcterms:W3CDTF">2023-09-25T03:16:08Z</dcterms:modified>
  <dc:title>宁夏社会保险发展报告2017</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2052-10.8.2.6726</vt:lpwstr>
  </property>
  <property fmtid="{D5CDD505-2E9C-101B-9397-08002B2CF9AE}" pid="3" name="ICV">
    <vt:lpwstr>B0EA7E9592634F4AAA0D6EF1477B81A5</vt:lpwstr>
  </property>
</Properties>
</file>