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ascii="方正小标宋简体" w:hAnsi="方正小标宋简体" w:eastAsia="方正小标宋简体" w:cs="方正小标宋简体"/>
          <w:sz w:val="44"/>
          <w:szCs w:val="44"/>
        </w:rPr>
      </w:pPr>
      <w:bookmarkStart w:id="18" w:name="_GoBack"/>
      <w:bookmarkEnd w:id="18"/>
    </w:p>
    <w:p>
      <w:pPr>
        <w:widowControl/>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自治区人力资源</w:t>
      </w:r>
      <w:r>
        <w:rPr>
          <w:rFonts w:ascii="方正小标宋简体" w:hAnsi="方正小标宋简体" w:eastAsia="方正小标宋简体" w:cs="方正小标宋简体"/>
          <w:sz w:val="44"/>
          <w:szCs w:val="44"/>
        </w:rPr>
        <w:t>和</w:t>
      </w:r>
      <w:r>
        <w:rPr>
          <w:rFonts w:hint="eastAsia" w:ascii="方正小标宋简体" w:hAnsi="方正小标宋简体" w:eastAsia="方正小标宋简体" w:cs="方正小标宋简体"/>
          <w:sz w:val="44"/>
          <w:szCs w:val="44"/>
        </w:rPr>
        <w:t>社会保障厅 自治区财政厅 国家税务总局宁夏回族自治区税务局 自治区社会保险事业管理局关于印发《宁夏回族自治区工伤保险经办规程（试行）》的通知</w:t>
      </w:r>
    </w:p>
    <w:p>
      <w:pPr>
        <w:widowControl/>
        <w:spacing w:line="600" w:lineRule="exact"/>
        <w:jc w:val="center"/>
        <w:rPr>
          <w:rFonts w:ascii="方正小标宋简体" w:hAnsi="方正小标宋简体" w:eastAsia="方正小标宋简体" w:cs="方正小标宋简体"/>
          <w:sz w:val="44"/>
          <w:szCs w:val="44"/>
        </w:rPr>
      </w:pPr>
    </w:p>
    <w:p>
      <w:pPr>
        <w:widowControl/>
        <w:spacing w:line="600" w:lineRule="exact"/>
        <w:jc w:val="center"/>
        <w:rPr>
          <w:rFonts w:ascii="方正小标宋简体" w:hAnsi="方正小标宋简体" w:eastAsia="方正小标宋简体" w:cs="方正小标宋简体"/>
          <w:sz w:val="44"/>
          <w:szCs w:val="44"/>
        </w:rPr>
      </w:pPr>
      <w:r>
        <w:rPr>
          <w:rFonts w:hint="eastAsia" w:ascii="仿宋_GB2312" w:hAnsi="仿宋_GB2312" w:eastAsia="仿宋_GB2312" w:cs="仿宋_GB2312"/>
          <w:sz w:val="32"/>
          <w:szCs w:val="32"/>
        </w:rPr>
        <w:t>宁人社发〔2023〕220号</w:t>
      </w:r>
    </w:p>
    <w:p>
      <w:pPr>
        <w:widowControl/>
        <w:rPr>
          <w:rFonts w:ascii="仿宋_GB2312" w:hAnsi="仿宋_GB2312" w:eastAsia="仿宋_GB2312" w:cs="仿宋_GB2312"/>
          <w:sz w:val="32"/>
          <w:szCs w:val="32"/>
        </w:rPr>
      </w:pP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各市、县（区）人力资源和社会保障局、财政局、社保中心</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国家税务总局宁夏区各市、县（区）税务局：</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现将《宁夏回族自治区工伤保险经办规程（试行）》印发你们，请遵照执行。</w:t>
      </w: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ind w:firstLine="640" w:firstLineChars="200"/>
        <w:rPr>
          <w:rFonts w:ascii="仿宋_GB2312" w:hAnsi="仿宋_GB2312" w:eastAsia="仿宋_GB2312" w:cs="仿宋_GB2312"/>
          <w:sz w:val="32"/>
          <w:szCs w:val="32"/>
        </w:rPr>
      </w:pP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自治区人力资源</w:t>
      </w:r>
      <w:r>
        <w:rPr>
          <w:rFonts w:ascii="仿宋_GB2312" w:hAnsi="仿宋_GB2312" w:eastAsia="仿宋_GB2312" w:cs="仿宋_GB2312"/>
          <w:sz w:val="32"/>
          <w:szCs w:val="32"/>
        </w:rPr>
        <w:t>和</w:t>
      </w:r>
      <w:r>
        <w:rPr>
          <w:rFonts w:hint="eastAsia" w:ascii="仿宋_GB2312" w:hAnsi="仿宋_GB2312" w:eastAsia="仿宋_GB2312" w:cs="仿宋_GB2312"/>
          <w:sz w:val="32"/>
          <w:szCs w:val="32"/>
        </w:rPr>
        <w:t>社会保障厅         自治区财政厅</w:t>
      </w:r>
    </w:p>
    <w:p>
      <w:pPr>
        <w:widowControl/>
        <w:spacing w:line="560" w:lineRule="exact"/>
        <w:rPr>
          <w:rFonts w:ascii="仿宋_GB2312" w:hAnsi="仿宋_GB2312" w:eastAsia="仿宋_GB2312" w:cs="仿宋_GB2312"/>
          <w:sz w:val="32"/>
          <w:szCs w:val="32"/>
        </w:rPr>
      </w:pPr>
    </w:p>
    <w:p>
      <w:pPr>
        <w:widowControl/>
        <w:spacing w:line="560" w:lineRule="exact"/>
        <w:rPr>
          <w:rFonts w:ascii="仿宋_GB2312" w:hAnsi="仿宋_GB2312" w:eastAsia="仿宋_GB2312" w:cs="仿宋_GB2312"/>
          <w:sz w:val="32"/>
          <w:szCs w:val="32"/>
        </w:rPr>
      </w:pPr>
    </w:p>
    <w:p>
      <w:pPr>
        <w:widowControl/>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国家税务总局宁夏回族自治区税务局     自治区社保局</w:t>
      </w:r>
    </w:p>
    <w:p>
      <w:pPr>
        <w:widowControl/>
        <w:spacing w:line="560" w:lineRule="exact"/>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2023年1</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月15日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（此件</w:t>
      </w:r>
      <w:r>
        <w:rPr>
          <w:rFonts w:ascii="仿宋_GB2312" w:eastAsia="仿宋_GB2312"/>
          <w:sz w:val="32"/>
          <w:szCs w:val="32"/>
        </w:rPr>
        <w:t>公开</w:t>
      </w:r>
      <w:r>
        <w:rPr>
          <w:rFonts w:hint="eastAsia" w:ascii="仿宋_GB2312" w:eastAsia="仿宋_GB2312"/>
          <w:sz w:val="32"/>
          <w:szCs w:val="32"/>
        </w:rPr>
        <w:t>发布）</w:t>
      </w:r>
    </w:p>
    <w:p>
      <w:pPr>
        <w:widowControl/>
        <w:jc w:val="center"/>
        <w:rPr>
          <w:rFonts w:ascii="方正小标宋简体" w:hAnsi="方正小标宋简体" w:eastAsia="方正小标宋简体" w:cs="方正小标宋简体"/>
          <w:color w:val="000000"/>
          <w:sz w:val="44"/>
          <w:szCs w:val="44"/>
        </w:rPr>
      </w:pPr>
    </w:p>
    <w:p>
      <w:pPr>
        <w:widowControl/>
        <w:rPr>
          <w:rFonts w:ascii="方正小标宋简体" w:hAnsi="方正小标宋简体" w:eastAsia="方正小标宋简体" w:cs="方正小标宋简体"/>
          <w:color w:val="000000"/>
          <w:sz w:val="28"/>
          <w:szCs w:val="28"/>
        </w:rPr>
      </w:pPr>
      <w:r>
        <w:rPr>
          <w:rFonts w:ascii="仿宋_GB2312" w:hAnsi="仿宋_GB2312" w:eastAsia="仿宋_GB2312" w:cs="仿宋_GB2312"/>
          <w:sz w:val="28"/>
          <w:szCs w:val="28"/>
        </w:rPr>
        <w:t>抄送：</w:t>
      </w:r>
      <w:r>
        <w:rPr>
          <w:rFonts w:hint="eastAsia" w:ascii="仿宋_GB2312" w:hAnsi="仿宋_GB2312" w:eastAsia="仿宋_GB2312" w:cs="仿宋_GB2312"/>
          <w:sz w:val="28"/>
          <w:szCs w:val="28"/>
        </w:rPr>
        <w:t>宁东管委会社会事务局、社保中心</w:t>
      </w:r>
      <w:r>
        <w:rPr>
          <w:rFonts w:ascii="仿宋_GB2312" w:hAnsi="仿宋_GB2312" w:eastAsia="仿宋_GB2312" w:cs="仿宋_GB2312"/>
          <w:sz w:val="28"/>
          <w:szCs w:val="28"/>
        </w:rPr>
        <w:t>。</w:t>
      </w:r>
    </w:p>
    <w:p>
      <w:pPr>
        <w:widowControl/>
        <w:jc w:val="center"/>
        <w:rPr>
          <w:rFonts w:ascii="方正小标宋简体" w:hAnsi="方正小标宋简体" w:eastAsia="方正小标宋简体" w:cs="方正小标宋简体"/>
          <w:color w:val="000000"/>
          <w:sz w:val="44"/>
          <w:szCs w:val="44"/>
        </w:rPr>
      </w:pPr>
    </w:p>
    <w:p>
      <w:pPr>
        <w:widowControl/>
        <w:jc w:val="center"/>
        <w:rPr>
          <w:rFonts w:ascii="方正小标宋简体" w:hAnsi="方正小标宋简体" w:eastAsia="方正小标宋简体" w:cs="方正小标宋简体"/>
          <w:color w:val="000000"/>
          <w:sz w:val="44"/>
          <w:szCs w:val="44"/>
        </w:rPr>
      </w:pPr>
    </w:p>
    <w:p>
      <w:pPr>
        <w:widowControl/>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宁夏回族自治区工伤保险经办规程（试行）</w:t>
      </w:r>
    </w:p>
    <w:p>
      <w:pPr>
        <w:widowControl/>
        <w:jc w:val="center"/>
        <w:rPr>
          <w:rFonts w:ascii="仿宋_GB2312" w:eastAsia="仿宋_GB2312"/>
          <w:color w:val="000000"/>
          <w:sz w:val="44"/>
          <w:szCs w:val="44"/>
        </w:rPr>
      </w:pPr>
    </w:p>
    <w:p>
      <w:pPr>
        <w:pStyle w:val="16"/>
        <w:tabs>
          <w:tab w:val="right" w:leader="dot" w:pos="8296"/>
        </w:tabs>
        <w:rPr>
          <w:rFonts w:ascii="仿宋_GB2312" w:eastAsia="仿宋_GB2312"/>
          <w:color w:val="000000"/>
          <w:sz w:val="32"/>
          <w:szCs w:val="32"/>
        </w:rPr>
      </w:pPr>
      <w:r>
        <w:rPr>
          <w:rFonts w:ascii="仿宋_GB2312" w:eastAsia="仿宋_GB2312"/>
          <w:color w:val="000000"/>
          <w:sz w:val="44"/>
          <w:szCs w:val="44"/>
        </w:rPr>
        <w:fldChar w:fldCharType="begin"/>
      </w:r>
      <w:r>
        <w:rPr>
          <w:rFonts w:ascii="仿宋_GB2312" w:eastAsia="仿宋_GB2312"/>
          <w:color w:val="000000"/>
          <w:sz w:val="44"/>
          <w:szCs w:val="44"/>
        </w:rPr>
        <w:instrText xml:space="preserve"> </w:instrText>
      </w:r>
      <w:r>
        <w:rPr>
          <w:rFonts w:hint="eastAsia" w:ascii="仿宋_GB2312" w:eastAsia="仿宋_GB2312"/>
          <w:color w:val="000000"/>
          <w:sz w:val="44"/>
          <w:szCs w:val="44"/>
        </w:rPr>
        <w:instrText xml:space="preserve">TOC \o "1-1" \h \z \u</w:instrText>
      </w:r>
      <w:r>
        <w:rPr>
          <w:rFonts w:ascii="仿宋_GB2312" w:eastAsia="仿宋_GB2312"/>
          <w:color w:val="000000"/>
          <w:sz w:val="44"/>
          <w:szCs w:val="44"/>
        </w:rPr>
        <w:instrText xml:space="preserve"> </w:instrText>
      </w:r>
      <w:r>
        <w:rPr>
          <w:rFonts w:ascii="仿宋_GB2312" w:eastAsia="仿宋_GB2312"/>
          <w:color w:val="000000"/>
          <w:sz w:val="44"/>
          <w:szCs w:val="44"/>
        </w:rPr>
        <w:fldChar w:fldCharType="separate"/>
      </w:r>
      <w:r>
        <w:fldChar w:fldCharType="begin"/>
      </w:r>
      <w:r>
        <w:instrText xml:space="preserve"> HYPERLINK \l "_Toc89785117" </w:instrText>
      </w:r>
      <w:r>
        <w:fldChar w:fldCharType="separate"/>
      </w:r>
      <w:r>
        <w:rPr>
          <w:rStyle w:val="22"/>
          <w:rFonts w:hint="eastAsia" w:ascii="仿宋_GB2312" w:eastAsia="仿宋_GB2312"/>
          <w:color w:val="000000"/>
          <w:sz w:val="32"/>
          <w:szCs w:val="32"/>
          <w:u w:val="none"/>
        </w:rPr>
        <w:t>第一章 总则</w:t>
      </w:r>
      <w:r>
        <w:rPr>
          <w:rFonts w:hint="eastAsia" w:ascii="仿宋_GB2312" w:eastAsia="仿宋_GB2312"/>
          <w:color w:val="000000"/>
          <w:sz w:val="32"/>
          <w:szCs w:val="32"/>
        </w:rPr>
        <w:tab/>
      </w:r>
      <w:r>
        <w:rPr>
          <w:rFonts w:hint="eastAsia" w:ascii="仿宋_GB2312" w:eastAsia="仿宋_GB2312"/>
          <w:color w:val="000000"/>
          <w:sz w:val="32"/>
          <w:szCs w:val="32"/>
        </w:rPr>
        <w:t>3</w:t>
      </w:r>
      <w:r>
        <w:rPr>
          <w:rFonts w:hint="eastAsia" w:ascii="仿宋_GB2312" w:eastAsia="仿宋_GB2312"/>
          <w:color w:val="000000"/>
          <w:sz w:val="32"/>
          <w:szCs w:val="32"/>
        </w:rPr>
        <w:fldChar w:fldCharType="end"/>
      </w:r>
    </w:p>
    <w:p>
      <w:pPr>
        <w:pStyle w:val="16"/>
        <w:tabs>
          <w:tab w:val="right" w:leader="dot" w:pos="8296"/>
        </w:tabs>
        <w:rPr>
          <w:rFonts w:ascii="仿宋_GB2312" w:eastAsia="仿宋_GB2312"/>
          <w:color w:val="000000"/>
          <w:sz w:val="32"/>
          <w:szCs w:val="32"/>
        </w:rPr>
      </w:pPr>
      <w:r>
        <w:fldChar w:fldCharType="begin"/>
      </w:r>
      <w:r>
        <w:instrText xml:space="preserve"> HYPERLINK \l "_Toc89785118" </w:instrText>
      </w:r>
      <w:r>
        <w:fldChar w:fldCharType="separate"/>
      </w:r>
      <w:r>
        <w:rPr>
          <w:rStyle w:val="22"/>
          <w:rFonts w:hint="eastAsia" w:ascii="仿宋_GB2312" w:eastAsia="仿宋_GB2312"/>
          <w:color w:val="000000"/>
          <w:sz w:val="32"/>
          <w:szCs w:val="32"/>
          <w:u w:val="none"/>
        </w:rPr>
        <w:t>第二章 社会保险登记</w:t>
      </w:r>
      <w:r>
        <w:rPr>
          <w:rFonts w:hint="eastAsia" w:ascii="仿宋_GB2312" w:eastAsia="仿宋_GB2312"/>
          <w:color w:val="000000"/>
          <w:sz w:val="32"/>
          <w:szCs w:val="32"/>
        </w:rPr>
        <w:tab/>
      </w:r>
      <w:r>
        <w:rPr>
          <w:rFonts w:hint="eastAsia" w:ascii="仿宋_GB2312" w:eastAsia="仿宋_GB2312"/>
          <w:color w:val="000000"/>
          <w:sz w:val="32"/>
          <w:szCs w:val="32"/>
        </w:rPr>
        <w:t>5</w:t>
      </w:r>
      <w:r>
        <w:rPr>
          <w:rFonts w:hint="eastAsia" w:ascii="仿宋_GB2312" w:eastAsia="仿宋_GB2312"/>
          <w:color w:val="000000"/>
          <w:sz w:val="32"/>
          <w:szCs w:val="32"/>
        </w:rPr>
        <w:fldChar w:fldCharType="end"/>
      </w:r>
    </w:p>
    <w:p>
      <w:pPr>
        <w:pStyle w:val="16"/>
        <w:tabs>
          <w:tab w:val="right" w:leader="dot" w:pos="8296"/>
        </w:tabs>
        <w:rPr>
          <w:rFonts w:ascii="仿宋_GB2312" w:eastAsia="仿宋_GB2312"/>
          <w:color w:val="000000"/>
          <w:sz w:val="32"/>
          <w:szCs w:val="32"/>
        </w:rPr>
      </w:pPr>
      <w:r>
        <w:fldChar w:fldCharType="begin"/>
      </w:r>
      <w:r>
        <w:instrText xml:space="preserve"> HYPERLINK \l "_Toc89785119" </w:instrText>
      </w:r>
      <w:r>
        <w:fldChar w:fldCharType="separate"/>
      </w:r>
      <w:r>
        <w:rPr>
          <w:rStyle w:val="22"/>
          <w:rFonts w:hint="eastAsia" w:ascii="仿宋_GB2312" w:eastAsia="仿宋_GB2312"/>
          <w:color w:val="000000"/>
          <w:sz w:val="32"/>
          <w:szCs w:val="32"/>
          <w:u w:val="none"/>
        </w:rPr>
        <w:t>第三章 工伤保险费申报缴纳</w:t>
      </w:r>
      <w:r>
        <w:rPr>
          <w:rStyle w:val="22"/>
          <w:rFonts w:ascii="仿宋_GB2312" w:eastAsia="仿宋_GB2312"/>
          <w:color w:val="000000"/>
          <w:sz w:val="32"/>
          <w:szCs w:val="32"/>
          <w:u w:val="none"/>
          <w:lang w:val="en"/>
        </w:rPr>
        <w:t>管理</w:t>
      </w:r>
      <w:r>
        <w:rPr>
          <w:rFonts w:hint="eastAsia" w:ascii="仿宋_GB2312" w:eastAsia="仿宋_GB2312"/>
          <w:color w:val="000000"/>
          <w:sz w:val="32"/>
          <w:szCs w:val="32"/>
        </w:rPr>
        <w:tab/>
      </w:r>
      <w:r>
        <w:rPr>
          <w:rFonts w:hint="eastAsia" w:ascii="仿宋_GB2312" w:eastAsia="仿宋_GB2312"/>
          <w:color w:val="000000"/>
          <w:sz w:val="32"/>
          <w:szCs w:val="32"/>
        </w:rPr>
        <w:t>12</w:t>
      </w:r>
      <w:r>
        <w:rPr>
          <w:rFonts w:hint="eastAsia" w:ascii="仿宋_GB2312" w:eastAsia="仿宋_GB2312"/>
          <w:color w:val="000000"/>
          <w:sz w:val="32"/>
          <w:szCs w:val="32"/>
        </w:rPr>
        <w:fldChar w:fldCharType="end"/>
      </w:r>
    </w:p>
    <w:p>
      <w:pPr>
        <w:pStyle w:val="16"/>
        <w:tabs>
          <w:tab w:val="right" w:leader="dot" w:pos="8296"/>
        </w:tabs>
        <w:rPr>
          <w:rFonts w:ascii="仿宋_GB2312" w:eastAsia="仿宋_GB2312"/>
          <w:color w:val="000000"/>
          <w:sz w:val="32"/>
          <w:szCs w:val="32"/>
        </w:rPr>
      </w:pPr>
      <w:r>
        <w:fldChar w:fldCharType="begin"/>
      </w:r>
      <w:r>
        <w:instrText xml:space="preserve"> HYPERLINK \l "_Toc89785120" </w:instrText>
      </w:r>
      <w:r>
        <w:fldChar w:fldCharType="separate"/>
      </w:r>
      <w:r>
        <w:rPr>
          <w:rStyle w:val="22"/>
          <w:rFonts w:hint="eastAsia" w:ascii="仿宋_GB2312" w:eastAsia="仿宋_GB2312"/>
          <w:color w:val="000000"/>
          <w:sz w:val="32"/>
          <w:szCs w:val="32"/>
          <w:u w:val="none"/>
        </w:rPr>
        <w:t>第四章 工伤医疗、康复与辅助器具配置管理</w:t>
      </w:r>
      <w:r>
        <w:rPr>
          <w:rFonts w:hint="eastAsia" w:ascii="仿宋_GB2312" w:eastAsia="仿宋_GB2312"/>
          <w:color w:val="000000"/>
          <w:sz w:val="32"/>
          <w:szCs w:val="32"/>
        </w:rPr>
        <w:tab/>
      </w:r>
      <w:r>
        <w:rPr>
          <w:rFonts w:hint="eastAsia" w:ascii="仿宋_GB2312" w:eastAsia="仿宋_GB2312"/>
          <w:color w:val="000000"/>
          <w:sz w:val="32"/>
          <w:szCs w:val="32"/>
        </w:rPr>
        <w:fldChar w:fldCharType="begin"/>
      </w:r>
      <w:r>
        <w:rPr>
          <w:rFonts w:hint="eastAsia" w:ascii="仿宋_GB2312" w:eastAsia="仿宋_GB2312"/>
          <w:color w:val="000000"/>
          <w:sz w:val="32"/>
          <w:szCs w:val="32"/>
        </w:rPr>
        <w:instrText xml:space="preserve"> PAGEREF _Toc89785120 \h </w:instrText>
      </w:r>
      <w:r>
        <w:rPr>
          <w:rFonts w:hint="eastAsia" w:ascii="仿宋_GB2312" w:eastAsia="仿宋_GB2312"/>
          <w:color w:val="000000"/>
          <w:sz w:val="32"/>
          <w:szCs w:val="32"/>
        </w:rPr>
        <w:fldChar w:fldCharType="separate"/>
      </w:r>
      <w:r>
        <w:rPr>
          <w:rFonts w:ascii="仿宋_GB2312" w:eastAsia="仿宋_GB2312"/>
          <w:color w:val="000000"/>
          <w:sz w:val="32"/>
          <w:szCs w:val="32"/>
        </w:rPr>
        <w:t>17</w:t>
      </w:r>
      <w:r>
        <w:rPr>
          <w:rFonts w:hint="eastAsia" w:ascii="仿宋_GB2312" w:eastAsia="仿宋_GB2312"/>
          <w:color w:val="000000"/>
          <w:sz w:val="32"/>
          <w:szCs w:val="32"/>
        </w:rPr>
        <w:fldChar w:fldCharType="end"/>
      </w:r>
      <w:r>
        <w:rPr>
          <w:rFonts w:hint="eastAsia" w:ascii="仿宋_GB2312" w:eastAsia="仿宋_GB2312"/>
          <w:color w:val="000000"/>
          <w:sz w:val="32"/>
          <w:szCs w:val="32"/>
        </w:rPr>
        <w:fldChar w:fldCharType="end"/>
      </w:r>
    </w:p>
    <w:p>
      <w:pPr>
        <w:pStyle w:val="16"/>
        <w:tabs>
          <w:tab w:val="right" w:leader="dot" w:pos="8296"/>
        </w:tabs>
        <w:rPr>
          <w:rFonts w:ascii="仿宋_GB2312" w:eastAsia="仿宋_GB2312"/>
          <w:color w:val="000000"/>
          <w:sz w:val="32"/>
          <w:szCs w:val="32"/>
        </w:rPr>
      </w:pPr>
      <w:r>
        <w:fldChar w:fldCharType="begin"/>
      </w:r>
      <w:r>
        <w:instrText xml:space="preserve"> HYPERLINK \l "_Toc89785122" </w:instrText>
      </w:r>
      <w:r>
        <w:fldChar w:fldCharType="separate"/>
      </w:r>
      <w:r>
        <w:rPr>
          <w:rStyle w:val="22"/>
          <w:rFonts w:hint="eastAsia" w:ascii="仿宋_GB2312" w:eastAsia="仿宋_GB2312"/>
          <w:color w:val="000000"/>
          <w:sz w:val="32"/>
          <w:szCs w:val="32"/>
          <w:u w:val="none"/>
        </w:rPr>
        <w:t>第五章 工伤保险待遇审核</w:t>
      </w:r>
      <w:r>
        <w:rPr>
          <w:rFonts w:hint="eastAsia" w:ascii="仿宋_GB2312" w:eastAsia="仿宋_GB2312"/>
          <w:color w:val="000000"/>
          <w:sz w:val="32"/>
          <w:szCs w:val="32"/>
        </w:rPr>
        <w:tab/>
      </w:r>
      <w:r>
        <w:rPr>
          <w:rFonts w:hint="eastAsia" w:ascii="仿宋_GB2312" w:eastAsia="仿宋_GB2312"/>
          <w:color w:val="000000"/>
          <w:sz w:val="32"/>
          <w:szCs w:val="32"/>
        </w:rPr>
        <w:t>2</w:t>
      </w:r>
      <w:r>
        <w:rPr>
          <w:rFonts w:hint="eastAsia" w:ascii="仿宋_GB2312" w:eastAsia="仿宋_GB2312"/>
          <w:color w:val="000000"/>
          <w:sz w:val="32"/>
          <w:szCs w:val="32"/>
        </w:rPr>
        <w:fldChar w:fldCharType="end"/>
      </w:r>
      <w:r>
        <w:rPr>
          <w:rFonts w:hint="eastAsia" w:ascii="仿宋_GB2312" w:eastAsia="仿宋_GB2312"/>
          <w:color w:val="000000"/>
          <w:sz w:val="32"/>
          <w:szCs w:val="32"/>
        </w:rPr>
        <w:t>9</w:t>
      </w:r>
    </w:p>
    <w:p>
      <w:pPr>
        <w:pStyle w:val="16"/>
        <w:tabs>
          <w:tab w:val="right" w:leader="dot" w:pos="8296"/>
        </w:tabs>
        <w:rPr>
          <w:rFonts w:ascii="仿宋_GB2312" w:eastAsia="仿宋_GB2312"/>
          <w:color w:val="000000"/>
          <w:sz w:val="32"/>
          <w:szCs w:val="32"/>
        </w:rPr>
      </w:pPr>
      <w:r>
        <w:fldChar w:fldCharType="begin"/>
      </w:r>
      <w:r>
        <w:instrText xml:space="preserve"> HYPERLINK \l "_Toc89785123" </w:instrText>
      </w:r>
      <w:r>
        <w:fldChar w:fldCharType="separate"/>
      </w:r>
      <w:r>
        <w:rPr>
          <w:rStyle w:val="22"/>
          <w:rFonts w:hint="eastAsia" w:ascii="仿宋_GB2312" w:eastAsia="仿宋_GB2312"/>
          <w:color w:val="000000"/>
          <w:sz w:val="32"/>
          <w:szCs w:val="32"/>
          <w:u w:val="none"/>
        </w:rPr>
        <w:t>第六章 工伤保险待遇和专项费用支付</w:t>
      </w:r>
      <w:r>
        <w:rPr>
          <w:rFonts w:hint="eastAsia" w:ascii="仿宋_GB2312" w:eastAsia="仿宋_GB2312"/>
          <w:color w:val="000000"/>
          <w:sz w:val="32"/>
          <w:szCs w:val="32"/>
        </w:rPr>
        <w:tab/>
      </w:r>
      <w:r>
        <w:rPr>
          <w:rFonts w:hint="eastAsia" w:ascii="仿宋_GB2312" w:eastAsia="仿宋_GB2312"/>
          <w:color w:val="000000"/>
          <w:sz w:val="32"/>
          <w:szCs w:val="32"/>
        </w:rPr>
        <w:t>4</w:t>
      </w:r>
      <w:r>
        <w:rPr>
          <w:rFonts w:hint="eastAsia" w:ascii="仿宋_GB2312" w:eastAsia="仿宋_GB2312"/>
          <w:color w:val="000000"/>
          <w:sz w:val="32"/>
          <w:szCs w:val="32"/>
        </w:rPr>
        <w:fldChar w:fldCharType="end"/>
      </w:r>
      <w:r>
        <w:rPr>
          <w:rFonts w:hint="eastAsia" w:ascii="仿宋_GB2312" w:eastAsia="仿宋_GB2312"/>
          <w:color w:val="000000"/>
          <w:sz w:val="32"/>
          <w:szCs w:val="32"/>
        </w:rPr>
        <w:t>0</w:t>
      </w:r>
    </w:p>
    <w:p>
      <w:pPr>
        <w:pStyle w:val="16"/>
        <w:tabs>
          <w:tab w:val="right" w:leader="dot" w:pos="8296"/>
        </w:tabs>
        <w:rPr>
          <w:rFonts w:ascii="仿宋_GB2312" w:eastAsia="仿宋_GB2312"/>
          <w:color w:val="000000"/>
          <w:sz w:val="32"/>
          <w:szCs w:val="32"/>
        </w:rPr>
      </w:pPr>
      <w:r>
        <w:fldChar w:fldCharType="begin"/>
      </w:r>
      <w:r>
        <w:instrText xml:space="preserve"> HYPERLINK \l "_Toc89785122" </w:instrText>
      </w:r>
      <w:r>
        <w:fldChar w:fldCharType="separate"/>
      </w:r>
      <w:r>
        <w:rPr>
          <w:rStyle w:val="22"/>
          <w:rFonts w:hint="eastAsia" w:ascii="仿宋_GB2312" w:eastAsia="仿宋_GB2312"/>
          <w:color w:val="000000"/>
          <w:sz w:val="32"/>
          <w:szCs w:val="32"/>
          <w:u w:val="none"/>
        </w:rPr>
        <w:t>第七章 工伤保险关系转移接续</w:t>
      </w:r>
      <w:r>
        <w:rPr>
          <w:rFonts w:hint="eastAsia" w:ascii="仿宋_GB2312" w:eastAsia="仿宋_GB2312"/>
          <w:color w:val="000000"/>
          <w:sz w:val="32"/>
          <w:szCs w:val="32"/>
        </w:rPr>
        <w:tab/>
      </w:r>
      <w:r>
        <w:rPr>
          <w:rFonts w:hint="eastAsia" w:ascii="仿宋_GB2312" w:eastAsia="仿宋_GB2312"/>
          <w:color w:val="000000"/>
          <w:sz w:val="32"/>
          <w:szCs w:val="32"/>
        </w:rPr>
        <w:t>45</w:t>
      </w:r>
      <w:r>
        <w:rPr>
          <w:rFonts w:hint="eastAsia" w:ascii="仿宋_GB2312" w:eastAsia="仿宋_GB2312"/>
          <w:color w:val="000000"/>
          <w:sz w:val="32"/>
          <w:szCs w:val="32"/>
        </w:rPr>
        <w:fldChar w:fldCharType="end"/>
      </w:r>
    </w:p>
    <w:p>
      <w:pPr>
        <w:pStyle w:val="16"/>
        <w:tabs>
          <w:tab w:val="right" w:leader="dot" w:pos="8296"/>
        </w:tabs>
        <w:rPr>
          <w:rFonts w:ascii="仿宋_GB2312" w:eastAsia="仿宋_GB2312"/>
          <w:color w:val="000000"/>
          <w:sz w:val="32"/>
          <w:szCs w:val="32"/>
        </w:rPr>
      </w:pPr>
      <w:r>
        <w:fldChar w:fldCharType="begin"/>
      </w:r>
      <w:r>
        <w:instrText xml:space="preserve"> HYPERLINK \l "_Toc89785124" </w:instrText>
      </w:r>
      <w:r>
        <w:fldChar w:fldCharType="separate"/>
      </w:r>
      <w:r>
        <w:rPr>
          <w:rStyle w:val="22"/>
          <w:rFonts w:hint="eastAsia" w:ascii="仿宋_GB2312" w:eastAsia="仿宋_GB2312"/>
          <w:color w:val="000000"/>
          <w:sz w:val="32"/>
          <w:szCs w:val="32"/>
          <w:u w:val="none"/>
        </w:rPr>
        <w:t>第八章 财务管理</w:t>
      </w:r>
      <w:r>
        <w:rPr>
          <w:rFonts w:hint="eastAsia" w:ascii="仿宋_GB2312" w:eastAsia="仿宋_GB2312"/>
          <w:color w:val="000000"/>
          <w:sz w:val="32"/>
          <w:szCs w:val="32"/>
        </w:rPr>
        <w:tab/>
      </w:r>
      <w:r>
        <w:rPr>
          <w:rFonts w:hint="eastAsia" w:ascii="仿宋_GB2312" w:eastAsia="仿宋_GB2312"/>
          <w:color w:val="000000"/>
          <w:sz w:val="32"/>
          <w:szCs w:val="32"/>
        </w:rPr>
        <w:t>46</w:t>
      </w:r>
      <w:r>
        <w:rPr>
          <w:rFonts w:hint="eastAsia" w:ascii="仿宋_GB2312" w:eastAsia="仿宋_GB2312"/>
          <w:color w:val="000000"/>
          <w:sz w:val="32"/>
          <w:szCs w:val="32"/>
        </w:rPr>
        <w:fldChar w:fldCharType="end"/>
      </w:r>
    </w:p>
    <w:p>
      <w:pPr>
        <w:pStyle w:val="16"/>
        <w:tabs>
          <w:tab w:val="right" w:leader="dot" w:pos="8296"/>
        </w:tabs>
        <w:rPr>
          <w:rFonts w:ascii="仿宋_GB2312" w:eastAsia="仿宋_GB2312"/>
          <w:color w:val="000000"/>
          <w:sz w:val="32"/>
          <w:szCs w:val="32"/>
        </w:rPr>
      </w:pPr>
      <w:r>
        <w:fldChar w:fldCharType="begin"/>
      </w:r>
      <w:r>
        <w:instrText xml:space="preserve"> HYPERLINK \l "_Toc89785125" </w:instrText>
      </w:r>
      <w:r>
        <w:fldChar w:fldCharType="separate"/>
      </w:r>
      <w:r>
        <w:rPr>
          <w:rStyle w:val="22"/>
          <w:rFonts w:hint="eastAsia" w:ascii="仿宋_GB2312" w:eastAsia="仿宋_GB2312"/>
          <w:color w:val="000000"/>
          <w:sz w:val="32"/>
          <w:szCs w:val="32"/>
          <w:u w:val="none"/>
        </w:rPr>
        <w:t>第九章 信息管理</w:t>
      </w:r>
      <w:r>
        <w:rPr>
          <w:rFonts w:hint="eastAsia" w:ascii="仿宋_GB2312" w:eastAsia="仿宋_GB2312"/>
          <w:color w:val="000000"/>
          <w:sz w:val="32"/>
          <w:szCs w:val="32"/>
        </w:rPr>
        <w:tab/>
      </w:r>
      <w:r>
        <w:rPr>
          <w:rFonts w:hint="eastAsia" w:ascii="仿宋_GB2312" w:eastAsia="仿宋_GB2312"/>
          <w:color w:val="000000"/>
          <w:sz w:val="32"/>
          <w:szCs w:val="32"/>
        </w:rPr>
        <w:t>4</w:t>
      </w:r>
      <w:r>
        <w:rPr>
          <w:rFonts w:hint="eastAsia" w:ascii="仿宋_GB2312" w:eastAsia="仿宋_GB2312"/>
          <w:color w:val="000000"/>
          <w:sz w:val="32"/>
          <w:szCs w:val="32"/>
        </w:rPr>
        <w:fldChar w:fldCharType="end"/>
      </w:r>
      <w:r>
        <w:rPr>
          <w:rFonts w:hint="eastAsia" w:ascii="仿宋_GB2312" w:eastAsia="仿宋_GB2312"/>
          <w:color w:val="000000"/>
          <w:sz w:val="32"/>
          <w:szCs w:val="32"/>
        </w:rPr>
        <w:t>9</w:t>
      </w:r>
    </w:p>
    <w:p>
      <w:pPr>
        <w:pStyle w:val="16"/>
        <w:tabs>
          <w:tab w:val="right" w:leader="dot" w:pos="8296"/>
        </w:tabs>
        <w:rPr>
          <w:rFonts w:ascii="仿宋_GB2312" w:eastAsia="仿宋_GB2312"/>
          <w:color w:val="000000"/>
          <w:sz w:val="32"/>
          <w:szCs w:val="32"/>
        </w:rPr>
      </w:pPr>
      <w:r>
        <w:fldChar w:fldCharType="begin"/>
      </w:r>
      <w:r>
        <w:instrText xml:space="preserve"> HYPERLINK \l "_Toc89785126" </w:instrText>
      </w:r>
      <w:r>
        <w:fldChar w:fldCharType="separate"/>
      </w:r>
      <w:r>
        <w:rPr>
          <w:rStyle w:val="22"/>
          <w:rFonts w:hint="eastAsia" w:ascii="仿宋_GB2312" w:eastAsia="仿宋_GB2312"/>
          <w:color w:val="000000"/>
          <w:sz w:val="32"/>
          <w:szCs w:val="32"/>
          <w:u w:val="none"/>
        </w:rPr>
        <w:t>第十章 稽核内控</w:t>
      </w:r>
      <w:r>
        <w:rPr>
          <w:rFonts w:hint="eastAsia" w:ascii="仿宋_GB2312" w:eastAsia="仿宋_GB2312"/>
          <w:color w:val="000000"/>
          <w:sz w:val="32"/>
          <w:szCs w:val="32"/>
        </w:rPr>
        <w:tab/>
      </w:r>
      <w:r>
        <w:rPr>
          <w:rFonts w:hint="eastAsia" w:ascii="仿宋_GB2312" w:eastAsia="仿宋_GB2312"/>
          <w:color w:val="000000"/>
          <w:sz w:val="32"/>
          <w:szCs w:val="32"/>
        </w:rPr>
        <w:t>51</w:t>
      </w:r>
      <w:r>
        <w:rPr>
          <w:rFonts w:hint="eastAsia" w:ascii="仿宋_GB2312" w:eastAsia="仿宋_GB2312"/>
          <w:color w:val="000000"/>
          <w:sz w:val="32"/>
          <w:szCs w:val="32"/>
        </w:rPr>
        <w:fldChar w:fldCharType="end"/>
      </w:r>
    </w:p>
    <w:p>
      <w:pPr>
        <w:pStyle w:val="16"/>
        <w:tabs>
          <w:tab w:val="right" w:leader="dot" w:pos="8296"/>
        </w:tabs>
        <w:rPr>
          <w:rFonts w:ascii="仿宋_GB2312" w:eastAsia="仿宋_GB2312"/>
          <w:color w:val="000000"/>
          <w:sz w:val="32"/>
          <w:szCs w:val="32"/>
        </w:rPr>
      </w:pPr>
      <w:r>
        <w:fldChar w:fldCharType="begin"/>
      </w:r>
      <w:r>
        <w:instrText xml:space="preserve"> HYPERLINK \l "_Toc89785127" </w:instrText>
      </w:r>
      <w:r>
        <w:fldChar w:fldCharType="separate"/>
      </w:r>
      <w:r>
        <w:rPr>
          <w:rStyle w:val="22"/>
          <w:rFonts w:hint="eastAsia" w:ascii="仿宋_GB2312" w:eastAsia="仿宋_GB2312"/>
          <w:color w:val="000000"/>
          <w:sz w:val="32"/>
          <w:szCs w:val="32"/>
          <w:u w:val="none"/>
        </w:rPr>
        <w:t>第十一章 权益记录与服务</w:t>
      </w:r>
      <w:r>
        <w:rPr>
          <w:rFonts w:hint="eastAsia" w:ascii="仿宋_GB2312" w:eastAsia="仿宋_GB2312"/>
          <w:color w:val="000000"/>
          <w:sz w:val="32"/>
          <w:szCs w:val="32"/>
        </w:rPr>
        <w:tab/>
      </w:r>
      <w:r>
        <w:rPr>
          <w:rFonts w:hint="eastAsia" w:ascii="仿宋_GB2312" w:eastAsia="仿宋_GB2312"/>
          <w:color w:val="000000"/>
          <w:sz w:val="32"/>
          <w:szCs w:val="32"/>
        </w:rPr>
        <w:t>54</w:t>
      </w:r>
      <w:r>
        <w:rPr>
          <w:rFonts w:hint="eastAsia" w:ascii="仿宋_GB2312" w:eastAsia="仿宋_GB2312"/>
          <w:color w:val="000000"/>
          <w:sz w:val="32"/>
          <w:szCs w:val="32"/>
        </w:rPr>
        <w:fldChar w:fldCharType="end"/>
      </w:r>
    </w:p>
    <w:p>
      <w:pPr>
        <w:pStyle w:val="16"/>
        <w:tabs>
          <w:tab w:val="right" w:leader="dot" w:pos="8296"/>
        </w:tabs>
        <w:rPr>
          <w:rFonts w:eastAsia="仿宋_GB2312"/>
          <w:color w:val="000000"/>
          <w:szCs w:val="22"/>
        </w:rPr>
      </w:pPr>
      <w:r>
        <w:fldChar w:fldCharType="begin"/>
      </w:r>
      <w:r>
        <w:instrText xml:space="preserve"> HYPERLINK \l "_Toc89785128" </w:instrText>
      </w:r>
      <w:r>
        <w:fldChar w:fldCharType="separate"/>
      </w:r>
      <w:r>
        <w:rPr>
          <w:rStyle w:val="22"/>
          <w:rFonts w:hint="eastAsia" w:ascii="仿宋_GB2312" w:eastAsia="仿宋_GB2312"/>
          <w:color w:val="000000"/>
          <w:sz w:val="32"/>
          <w:szCs w:val="32"/>
          <w:u w:val="none"/>
        </w:rPr>
        <w:t>第十二章 附则</w:t>
      </w:r>
      <w:r>
        <w:rPr>
          <w:rFonts w:hint="eastAsia" w:ascii="仿宋_GB2312" w:eastAsia="仿宋_GB2312"/>
          <w:color w:val="000000"/>
          <w:sz w:val="32"/>
          <w:szCs w:val="32"/>
        </w:rPr>
        <w:tab/>
      </w:r>
      <w:r>
        <w:rPr>
          <w:rFonts w:hint="eastAsia" w:ascii="仿宋_GB2312" w:eastAsia="仿宋_GB2312"/>
          <w:color w:val="000000"/>
          <w:sz w:val="32"/>
          <w:szCs w:val="32"/>
        </w:rPr>
        <w:t>5</w:t>
      </w:r>
      <w:r>
        <w:rPr>
          <w:rFonts w:hint="eastAsia" w:ascii="仿宋_GB2312" w:eastAsia="仿宋_GB2312"/>
          <w:color w:val="000000"/>
          <w:sz w:val="32"/>
          <w:szCs w:val="32"/>
        </w:rPr>
        <w:fldChar w:fldCharType="end"/>
      </w:r>
      <w:r>
        <w:rPr>
          <w:rFonts w:hint="eastAsia" w:ascii="仿宋_GB2312" w:eastAsia="仿宋_GB2312"/>
          <w:color w:val="000000"/>
          <w:sz w:val="32"/>
          <w:szCs w:val="32"/>
        </w:rPr>
        <w:t>8</w:t>
      </w:r>
    </w:p>
    <w:p>
      <w:pPr>
        <w:pStyle w:val="2"/>
        <w:spacing w:before="0" w:after="0" w:line="240" w:lineRule="auto"/>
        <w:jc w:val="center"/>
        <w:rPr>
          <w:rFonts w:ascii="仿宋_GB2312" w:eastAsia="仿宋_GB2312"/>
          <w:color w:val="000000"/>
          <w:szCs w:val="44"/>
        </w:rPr>
      </w:pPr>
      <w:r>
        <w:rPr>
          <w:rFonts w:ascii="仿宋_GB2312" w:eastAsia="仿宋_GB2312"/>
          <w:color w:val="000000"/>
          <w:szCs w:val="44"/>
        </w:rPr>
        <w:fldChar w:fldCharType="end"/>
      </w:r>
      <w:bookmarkStart w:id="0" w:name="_Toc89785117"/>
    </w:p>
    <w:p>
      <w:pPr>
        <w:pStyle w:val="2"/>
        <w:spacing w:before="0" w:after="0" w:line="240" w:lineRule="auto"/>
        <w:jc w:val="center"/>
        <w:rPr>
          <w:rFonts w:ascii="黑体" w:hAnsi="黑体" w:eastAsia="黑体" w:cs="黑体"/>
          <w:b w:val="0"/>
          <w:bCs/>
          <w:color w:val="000000"/>
          <w:sz w:val="32"/>
          <w:szCs w:val="32"/>
        </w:rPr>
      </w:pPr>
      <w:r>
        <w:rPr>
          <w:rFonts w:ascii="仿宋_GB2312" w:eastAsia="仿宋_GB2312"/>
          <w:color w:val="000000"/>
          <w:szCs w:val="44"/>
        </w:rPr>
        <w:br w:type="page"/>
      </w:r>
      <w:r>
        <w:rPr>
          <w:rFonts w:hint="eastAsia" w:ascii="黑体" w:hAnsi="黑体" w:eastAsia="黑体" w:cs="黑体"/>
          <w:b w:val="0"/>
          <w:bCs/>
          <w:color w:val="000000"/>
          <w:sz w:val="32"/>
          <w:szCs w:val="32"/>
        </w:rPr>
        <w:t>第一章</w:t>
      </w:r>
      <w:r>
        <w:rPr>
          <w:rFonts w:ascii="黑体" w:hAnsi="黑体" w:eastAsia="黑体" w:cs="黑体"/>
          <w:b w:val="0"/>
          <w:bCs/>
          <w:color w:val="000000"/>
          <w:sz w:val="32"/>
          <w:szCs w:val="32"/>
        </w:rPr>
        <w:t xml:space="preserve"> </w:t>
      </w:r>
      <w:r>
        <w:rPr>
          <w:rFonts w:hint="eastAsia" w:ascii="黑体" w:hAnsi="黑体" w:eastAsia="黑体" w:cs="黑体"/>
          <w:b w:val="0"/>
          <w:bCs/>
          <w:color w:val="000000"/>
          <w:sz w:val="32"/>
          <w:szCs w:val="32"/>
        </w:rPr>
        <w:t>总则</w:t>
      </w:r>
      <w:bookmarkEnd w:id="0"/>
    </w:p>
    <w:p>
      <w:pPr>
        <w:spacing w:line="560" w:lineRule="exact"/>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为加强全区工伤保险业务经办管理，规范和统一经办操作程序，依据《中华人民共和国社会保险法》《工伤保险条例》《宁夏回族自治区实施&lt;工伤保险条例&gt;办法》</w:t>
      </w:r>
      <w:r>
        <w:rPr>
          <w:rFonts w:hint="eastAsia" w:ascii="仿宋_GB2312" w:hAnsi="仿宋_GB2312" w:eastAsia="仿宋_GB2312" w:cs="仿宋_GB2312"/>
          <w:color w:val="000000"/>
          <w:sz w:val="32"/>
          <w:szCs w:val="32"/>
          <w:vertAlign w:val="superscript"/>
        </w:rPr>
        <w:t>1</w:t>
      </w:r>
      <w:r>
        <w:rPr>
          <w:rFonts w:hint="eastAsia" w:ascii="仿宋_GB2312" w:hAnsi="仿宋_GB2312" w:eastAsia="仿宋_GB2312" w:cs="仿宋_GB2312"/>
          <w:color w:val="000000"/>
          <w:sz w:val="32"/>
          <w:szCs w:val="32"/>
        </w:rPr>
        <w:t>和</w:t>
      </w:r>
      <w:r>
        <w:rPr>
          <w:rFonts w:ascii="仿宋_GB2312" w:eastAsia="仿宋_GB2312"/>
          <w:sz w:val="32"/>
          <w:szCs w:val="32"/>
        </w:rPr>
        <w:t>《宁夏回族自治区推进完善工伤保险自治区级统筹制度的实施意见》</w:t>
      </w:r>
      <w:r>
        <w:rPr>
          <w:rFonts w:hint="eastAsia" w:ascii="仿宋_GB2312" w:hAnsi="仿宋_GB2312" w:eastAsia="仿宋_GB2312" w:cs="仿宋_GB2312"/>
          <w:color w:val="000000"/>
          <w:sz w:val="32"/>
          <w:szCs w:val="32"/>
          <w:vertAlign w:val="superscript"/>
        </w:rPr>
        <w:t>2</w:t>
      </w:r>
      <w:r>
        <w:rPr>
          <w:rFonts w:hint="eastAsia" w:ascii="仿宋_GB2312" w:hAnsi="仿宋_GB2312" w:eastAsia="仿宋_GB2312" w:cs="仿宋_GB2312"/>
          <w:color w:val="000000"/>
          <w:sz w:val="32"/>
          <w:szCs w:val="32"/>
        </w:rPr>
        <w:t>等有关政策法规，结合宁夏实际，制定本规程。</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本规程适用于全区各级社会保险经办机构（以下简称经办机构）、工伤保险协议机构（包括医疗机构、康复机构、辅助器具配置机构、工伤预防项目实施单位）等办理工伤保险业务的活动。</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第三条</w:t>
      </w:r>
      <w:r>
        <w:rPr>
          <w:rFonts w:hint="eastAsia"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本规程所指经办业务包括社会保险登记，工伤保险费申报缴纳管理，工伤医疗、康复与辅助器具配置管理，工伤保险待遇审核，工伤保险待遇和专项费用支付，</w:t>
      </w:r>
      <w:r>
        <w:rPr>
          <w:rFonts w:hint="eastAsia" w:ascii="仿宋_GB2312" w:eastAsia="仿宋_GB2312"/>
          <w:color w:val="000000"/>
          <w:sz w:val="32"/>
          <w:szCs w:val="32"/>
        </w:rPr>
        <w:t>工伤保险关系转移接续，</w:t>
      </w:r>
      <w:r>
        <w:rPr>
          <w:rFonts w:hint="eastAsia" w:ascii="仿宋_GB2312" w:hAnsi="仿宋_GB2312" w:eastAsia="仿宋_GB2312" w:cs="仿宋_GB2312"/>
          <w:color w:val="000000"/>
          <w:sz w:val="32"/>
          <w:szCs w:val="32"/>
        </w:rPr>
        <w:t>财务管理，信息管理，稽核内控，权益记录与服务等内容。</w:t>
      </w:r>
    </w:p>
    <w:p>
      <w:pPr>
        <w:autoSpaceDE w:val="0"/>
        <w:autoSpaceDN w:val="0"/>
        <w:adjustRightInd w:val="0"/>
        <w:spacing w:line="560" w:lineRule="exact"/>
        <w:ind w:firstLine="640" w:firstLineChars="200"/>
        <w:rPr>
          <w:rFonts w:ascii="仿宋_GB2312" w:hAnsi="仿宋_GB2312" w:eastAsia="仿宋_GB2312" w:cs="仿宋_GB2312"/>
          <w:b/>
          <w:bCs/>
          <w:color w:val="000000"/>
          <w:sz w:val="32"/>
          <w:szCs w:val="32"/>
        </w:rPr>
      </w:pPr>
      <w:r>
        <w:rPr>
          <w:rFonts w:hint="eastAsia" w:ascii="黑体" w:hAnsi="黑体" w:eastAsia="黑体" w:cs="黑体"/>
          <w:color w:val="000000"/>
          <w:sz w:val="32"/>
          <w:szCs w:val="32"/>
        </w:rPr>
        <w:t>第四条</w:t>
      </w:r>
      <w:r>
        <w:rPr>
          <w:rFonts w:hint="eastAsia" w:ascii="黑体" w:eastAsia="黑体" w:cs="黑体"/>
          <w:color w:val="000000"/>
          <w:kern w:val="0"/>
          <w:sz w:val="32"/>
          <w:szCs w:val="32"/>
        </w:rPr>
        <w:t xml:space="preserve"> </w:t>
      </w:r>
      <w:r>
        <w:rPr>
          <w:rFonts w:hint="eastAsia" w:ascii="仿宋_GB2312" w:eastAsia="仿宋_GB2312" w:cs="仿宋_GB2312"/>
          <w:color w:val="000000"/>
          <w:kern w:val="0"/>
          <w:sz w:val="32"/>
          <w:szCs w:val="32"/>
        </w:rPr>
        <w:t>全区工伤保险自</w:t>
      </w:r>
      <w:r>
        <w:rPr>
          <w:rFonts w:ascii="仿宋_GB2312" w:eastAsia="仿宋_GB2312" w:cs="仿宋_GB2312"/>
          <w:color w:val="000000"/>
          <w:kern w:val="0"/>
          <w:sz w:val="32"/>
          <w:szCs w:val="32"/>
        </w:rPr>
        <w:t>治区</w:t>
      </w:r>
      <w:r>
        <w:rPr>
          <w:rFonts w:hint="eastAsia" w:ascii="仿宋_GB2312" w:eastAsia="仿宋_GB2312" w:cs="仿宋_GB2312"/>
          <w:color w:val="000000"/>
          <w:kern w:val="0"/>
          <w:sz w:val="32"/>
          <w:szCs w:val="32"/>
        </w:rPr>
        <w:t>级统筹实行</w:t>
      </w:r>
      <w:r>
        <w:rPr>
          <w:rFonts w:hint="eastAsia" w:ascii="TimesNewRomanPSMT" w:eastAsia="TimesNewRomanPSMT" w:cs="TimesNewRomanPSMT"/>
          <w:color w:val="000000"/>
          <w:kern w:val="0"/>
          <w:sz w:val="32"/>
          <w:szCs w:val="32"/>
        </w:rPr>
        <w:t>“</w:t>
      </w:r>
      <w:r>
        <w:rPr>
          <w:rFonts w:hint="eastAsia" w:ascii="仿宋_GB2312" w:eastAsia="仿宋_GB2312" w:cs="仿宋_GB2312"/>
          <w:color w:val="000000"/>
          <w:kern w:val="0"/>
          <w:sz w:val="32"/>
          <w:szCs w:val="32"/>
        </w:rPr>
        <w:t>六统一</w:t>
      </w:r>
      <w:r>
        <w:rPr>
          <w:rFonts w:hint="eastAsia" w:ascii="TimesNewRomanPSMT" w:eastAsia="TimesNewRomanPSMT" w:cs="TimesNewRomanPSMT"/>
          <w:color w:val="000000"/>
          <w:kern w:val="0"/>
          <w:sz w:val="32"/>
          <w:szCs w:val="32"/>
        </w:rPr>
        <w:t>”</w:t>
      </w:r>
      <w:r>
        <w:rPr>
          <w:rFonts w:hint="eastAsia" w:ascii="仿宋_GB2312" w:eastAsia="仿宋_GB2312" w:cs="仿宋_GB2312"/>
          <w:color w:val="000000"/>
          <w:kern w:val="0"/>
          <w:sz w:val="32"/>
          <w:szCs w:val="32"/>
        </w:rPr>
        <w:t>管理模式，即工伤保险在全区范围内统一基金管理、统一参保范围和参保对象、统一费率政策和缴费标准、统一待遇支付标准、统一工伤认定和劳动能力鉴定办法、统一经办流程和信息系统。</w:t>
      </w:r>
    </w:p>
    <w:p>
      <w:pPr>
        <w:autoSpaceDE w:val="0"/>
        <w:autoSpaceDN w:val="0"/>
        <w:adjustRightInd w:val="0"/>
        <w:spacing w:line="560" w:lineRule="exact"/>
        <w:ind w:firstLine="643"/>
        <w:rPr>
          <w:rFonts w:ascii="仿宋_GB2312" w:hAnsi="仿宋_GB2312" w:eastAsia="仿宋_GB2312" w:cs="仿宋_GB2312"/>
          <w:b/>
          <w:bCs/>
          <w:color w:val="000000"/>
          <w:sz w:val="32"/>
          <w:szCs w:val="32"/>
        </w:rPr>
      </w:pPr>
      <w:r>
        <w:rPr>
          <w:rFonts w:hint="eastAsia" w:ascii="黑体" w:hAnsi="黑体" w:eastAsia="黑体" w:cs="黑体"/>
          <w:color w:val="000000"/>
          <w:sz w:val="32"/>
          <w:szCs w:val="32"/>
        </w:rPr>
        <w:t>第五条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color w:val="000000"/>
          <w:sz w:val="32"/>
          <w:szCs w:val="32"/>
        </w:rPr>
        <w:t>全区各地工伤保险费收入全额归集至</w:t>
      </w:r>
      <w:r>
        <w:rPr>
          <w:rFonts w:hint="eastAsia" w:ascii="仿宋_GB2312" w:hAnsi="仿宋_GB2312" w:eastAsia="仿宋_GB2312" w:cs="仿宋_GB2312"/>
          <w:color w:val="000000"/>
          <w:sz w:val="32"/>
          <w:szCs w:val="32"/>
        </w:rPr>
        <w:t>自治区社会保障基金财政专户</w:t>
      </w:r>
      <w:r>
        <w:rPr>
          <w:rFonts w:hint="eastAsia" w:ascii="仿宋_GB2312" w:hAnsi="仿宋_GB2312" w:eastAsia="仿宋_GB2312" w:cs="仿宋_GB2312"/>
          <w:bCs/>
          <w:color w:val="000000"/>
          <w:sz w:val="32"/>
          <w:szCs w:val="32"/>
        </w:rPr>
        <w:t>。</w:t>
      </w:r>
      <w:r>
        <w:rPr>
          <w:rFonts w:hint="eastAsia" w:ascii="仿宋_GB2312" w:eastAsia="仿宋_GB2312" w:cs="仿宋_GB2312"/>
          <w:color w:val="000000"/>
          <w:kern w:val="0"/>
          <w:sz w:val="32"/>
          <w:szCs w:val="32"/>
        </w:rPr>
        <w:t>工伤保险基金在全区范围内统一管理和使用，统一核算和结算。自治区级统筹基金预算和财务管理办法按照国家和自治区有关规定执行。基金自治区级统收统支管理和自治区储备金按照</w:t>
      </w:r>
      <w:r>
        <w:rPr>
          <w:rFonts w:ascii="仿宋_GB2312" w:eastAsia="仿宋_GB2312"/>
          <w:sz w:val="32"/>
          <w:szCs w:val="32"/>
        </w:rPr>
        <w:t>《宁夏回族自治区推进完善工伤保险自治区级统筹制度的实施意见》</w:t>
      </w:r>
      <w:r>
        <w:rPr>
          <w:rFonts w:hint="eastAsia" w:ascii="仿宋_GB2312" w:hAnsi="仿宋_GB2312" w:eastAsia="仿宋_GB2312" w:cs="仿宋_GB2312"/>
          <w:color w:val="000000"/>
          <w:sz w:val="32"/>
          <w:szCs w:val="32"/>
        </w:rPr>
        <w:t>和《关于规范全区工伤保险自治区级统筹基金管理流程的通知》</w:t>
      </w:r>
      <w:r>
        <w:rPr>
          <w:rFonts w:hint="eastAsia" w:ascii="仿宋_GB2312" w:hAnsi="仿宋_GB2312" w:eastAsia="仿宋_GB2312" w:cs="仿宋_GB2312"/>
          <w:color w:val="000000"/>
          <w:sz w:val="32"/>
          <w:szCs w:val="32"/>
          <w:vertAlign w:val="superscript"/>
        </w:rPr>
        <w:t>3</w:t>
      </w:r>
      <w:r>
        <w:rPr>
          <w:rFonts w:hint="eastAsia" w:ascii="仿宋_GB2312" w:eastAsia="仿宋_GB2312" w:cs="仿宋_GB2312"/>
          <w:color w:val="000000"/>
          <w:kern w:val="0"/>
          <w:sz w:val="32"/>
          <w:szCs w:val="32"/>
        </w:rPr>
        <w:t>执行。</w:t>
      </w:r>
    </w:p>
    <w:p>
      <w:pPr>
        <w:spacing w:line="560" w:lineRule="exact"/>
        <w:ind w:firstLine="640" w:firstLineChars="200"/>
        <w:rPr>
          <w:rFonts w:ascii="仿宋_GB2312" w:eastAsia="仿宋_GB2312" w:cs="仿宋_GB2312"/>
          <w:color w:val="000000"/>
          <w:kern w:val="0"/>
          <w:sz w:val="32"/>
          <w:szCs w:val="32"/>
        </w:rPr>
      </w:pPr>
      <w:r>
        <w:rPr>
          <w:rFonts w:hint="eastAsia" w:ascii="黑体" w:hAnsi="黑体" w:eastAsia="黑体" w:cs="黑体"/>
          <w:color w:val="000000"/>
          <w:sz w:val="32"/>
          <w:szCs w:val="32"/>
        </w:rPr>
        <w:t>第六条</w:t>
      </w:r>
      <w:r>
        <w:rPr>
          <w:rFonts w:ascii="黑体" w:hAnsi="黑体" w:eastAsia="黑体" w:cs="黑体"/>
          <w:color w:val="000000"/>
          <w:sz w:val="32"/>
          <w:szCs w:val="32"/>
        </w:rPr>
        <w:t xml:space="preserve"> </w:t>
      </w:r>
      <w:r>
        <w:rPr>
          <w:rFonts w:hint="eastAsia" w:ascii="仿宋_GB2312" w:eastAsia="仿宋_GB2312" w:cs="仿宋_GB2312"/>
          <w:color w:val="000000"/>
          <w:kern w:val="0"/>
          <w:sz w:val="32"/>
          <w:szCs w:val="32"/>
        </w:rPr>
        <w:t>自治区建设全区统一的宁夏人力资源社会保障一体化系统（以下简称“一体化系统”</w:t>
      </w:r>
      <w:r>
        <w:rPr>
          <w:rFonts w:hint="eastAsia" w:ascii="仿宋_GB2312" w:eastAsia="仿宋_GB2312" w:cs="TimesNewRomanPSMT"/>
          <w:color w:val="000000"/>
          <w:kern w:val="0"/>
          <w:sz w:val="32"/>
          <w:szCs w:val="32"/>
        </w:rPr>
        <w:t>）、</w:t>
      </w:r>
      <w:r>
        <w:rPr>
          <w:rFonts w:hint="eastAsia" w:ascii="仿宋_GB2312" w:eastAsia="仿宋_GB2312" w:cs="仿宋_GB2312"/>
          <w:color w:val="000000"/>
          <w:kern w:val="0"/>
          <w:sz w:val="32"/>
          <w:szCs w:val="32"/>
        </w:rPr>
        <w:t>宁夏人力资源社会保障</w:t>
      </w:r>
      <w:r>
        <w:rPr>
          <w:rFonts w:hint="eastAsia" w:ascii="仿宋_GB2312" w:hAnsi="楷体_GB2312" w:eastAsia="仿宋_GB2312" w:cs="楷体_GB2312"/>
          <w:color w:val="000000"/>
          <w:kern w:val="0"/>
          <w:sz w:val="32"/>
          <w:szCs w:val="32"/>
        </w:rPr>
        <w:t>公共服务系统</w:t>
      </w:r>
      <w:r>
        <w:rPr>
          <w:rFonts w:hint="eastAsia" w:ascii="仿宋_GB2312" w:eastAsia="仿宋_GB2312" w:cs="仿宋_GB2312"/>
          <w:color w:val="000000"/>
          <w:kern w:val="0"/>
          <w:sz w:val="32"/>
          <w:szCs w:val="32"/>
        </w:rPr>
        <w:t>（以下简称“公共服务系统”</w:t>
      </w:r>
      <w:r>
        <w:rPr>
          <w:rFonts w:hint="eastAsia" w:ascii="仿宋_GB2312" w:eastAsia="仿宋_GB2312" w:cs="TimesNewRomanPSMT"/>
          <w:color w:val="000000"/>
          <w:kern w:val="0"/>
          <w:sz w:val="32"/>
          <w:szCs w:val="32"/>
        </w:rPr>
        <w:t>）</w:t>
      </w:r>
      <w:r>
        <w:rPr>
          <w:rFonts w:hint="eastAsia" w:ascii="仿宋_GB2312" w:eastAsia="仿宋_GB2312" w:cs="仿宋_GB2312"/>
          <w:color w:val="000000"/>
          <w:kern w:val="0"/>
          <w:sz w:val="32"/>
          <w:szCs w:val="32"/>
        </w:rPr>
        <w:t>办理工伤保险业务，实现业务数据自治区级集中管理，形成工伤保险行政、经办、信息、监控工作四位一体工作机制，</w:t>
      </w:r>
      <w:r>
        <w:rPr>
          <w:rFonts w:hint="eastAsia" w:ascii="仿宋_GB2312" w:hAnsi="仿宋_GB2312" w:eastAsia="仿宋_GB2312" w:cs="仿宋_GB2312"/>
          <w:color w:val="000000"/>
          <w:sz w:val="32"/>
          <w:szCs w:val="32"/>
        </w:rPr>
        <w:t>推进工伤认定、劳动能力鉴定、工伤经办业务的</w:t>
      </w:r>
      <w:r>
        <w:rPr>
          <w:rFonts w:hint="eastAsia" w:ascii="仿宋_GB2312" w:eastAsia="仿宋_GB2312"/>
          <w:color w:val="000000"/>
          <w:sz w:val="32"/>
          <w:szCs w:val="32"/>
        </w:rPr>
        <w:t>政务服务“一件事”办理模式</w:t>
      </w:r>
      <w:r>
        <w:rPr>
          <w:rFonts w:hint="eastAsia" w:ascii="仿宋_GB2312" w:hAnsi="仿宋_GB2312" w:eastAsia="仿宋_GB2312" w:cs="仿宋_GB2312"/>
          <w:color w:val="000000"/>
          <w:sz w:val="32"/>
          <w:szCs w:val="32"/>
          <w:vertAlign w:val="superscript"/>
        </w:rPr>
        <w:t>4</w:t>
      </w:r>
      <w:r>
        <w:rPr>
          <w:rFonts w:hint="eastAsia" w:ascii="仿宋_GB2312" w:eastAsia="仿宋_GB2312" w:cs="仿宋_GB2312"/>
          <w:color w:val="000000"/>
          <w:kern w:val="0"/>
          <w:sz w:val="32"/>
          <w:szCs w:val="32"/>
        </w:rPr>
        <w:t>。</w:t>
      </w:r>
    </w:p>
    <w:p>
      <w:pPr>
        <w:autoSpaceDE w:val="0"/>
        <w:autoSpaceDN w:val="0"/>
        <w:adjustRightInd w:val="0"/>
        <w:spacing w:line="560" w:lineRule="exact"/>
        <w:ind w:firstLine="640" w:firstLineChars="200"/>
        <w:jc w:val="left"/>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一体化系统</w:t>
      </w:r>
      <w:r>
        <w:rPr>
          <w:rFonts w:hint="eastAsia" w:ascii="仿宋_GB2312" w:eastAsia="仿宋_GB2312" w:cs="TimesNewRomanPSMT"/>
          <w:color w:val="000000"/>
          <w:kern w:val="0"/>
          <w:sz w:val="32"/>
          <w:szCs w:val="32"/>
        </w:rPr>
        <w:t>和</w:t>
      </w:r>
      <w:r>
        <w:rPr>
          <w:rFonts w:hint="eastAsia" w:ascii="仿宋_GB2312" w:hAnsi="楷体_GB2312" w:eastAsia="仿宋_GB2312" w:cs="楷体_GB2312"/>
          <w:color w:val="000000"/>
          <w:kern w:val="0"/>
          <w:sz w:val="32"/>
          <w:szCs w:val="32"/>
        </w:rPr>
        <w:t>公共服务系统</w:t>
      </w:r>
      <w:r>
        <w:rPr>
          <w:rFonts w:hint="eastAsia" w:ascii="仿宋_GB2312" w:eastAsia="仿宋_GB2312"/>
          <w:color w:val="000000"/>
          <w:sz w:val="32"/>
          <w:szCs w:val="32"/>
          <w:shd w:val="clear" w:color="auto" w:fill="FFFFFF"/>
        </w:rPr>
        <w:t>与国家、自治区政务服务平台对接</w:t>
      </w:r>
      <w:r>
        <w:rPr>
          <w:rFonts w:hint="eastAsia" w:ascii="仿宋_GB2312" w:eastAsia="仿宋_GB2312" w:cs="仿宋_GB2312"/>
          <w:color w:val="000000"/>
          <w:kern w:val="0"/>
          <w:sz w:val="32"/>
          <w:szCs w:val="32"/>
        </w:rPr>
        <w:t>，提升业务联动服务能力，逐步实现与公安、民政、财政、住房城乡建设、交通运输、卫生健康、应急管理、市场监管、医保、税务、法院等单位及金融机构、服务协议机构信息共享。</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以社会保障卡（含电子社保卡，下同）作为参保人员身份凭证，实现工伤医疗（康复、辅助器具配置）费用持卡即时结算，利用社会保障卡银行账户实现工伤保险待遇社会化发放。</w:t>
      </w:r>
    </w:p>
    <w:p>
      <w:pPr>
        <w:spacing w:line="560" w:lineRule="exact"/>
        <w:ind w:firstLine="640" w:firstLineChars="200"/>
        <w:rPr>
          <w:rFonts w:ascii="仿宋_GB2312" w:eastAsia="仿宋_GB2312" w:cs="仿宋_GB2312"/>
          <w:color w:val="000000"/>
          <w:kern w:val="0"/>
          <w:sz w:val="32"/>
          <w:szCs w:val="32"/>
        </w:rPr>
      </w:pPr>
      <w:r>
        <w:rPr>
          <w:rFonts w:hint="eastAsia" w:ascii="黑体" w:hAnsi="黑体" w:eastAsia="黑体" w:cs="黑体"/>
          <w:color w:val="000000"/>
          <w:sz w:val="32"/>
          <w:szCs w:val="32"/>
        </w:rPr>
        <w:t>第七条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各级经办机构应贯彻落实“放管服”改革要求，线上与线下服务相结合。</w:t>
      </w:r>
      <w:r>
        <w:rPr>
          <w:rFonts w:hint="eastAsia" w:ascii="仿宋_GB2312" w:eastAsia="仿宋_GB2312" w:cs="仿宋_GB2312"/>
          <w:color w:val="000000"/>
          <w:kern w:val="0"/>
          <w:sz w:val="32"/>
          <w:szCs w:val="32"/>
        </w:rPr>
        <w:t>按照规范化、标准化、便捷化的目标，规范工伤保险业务办理，优化流程、精简环节、缩短时限、减证便民，统一申报要求、统一审核标准、统一服务文本，拓展公共服务内容和渠道，全面实现工伤保险公共服务事项线上办理。</w:t>
      </w:r>
    </w:p>
    <w:p>
      <w:pPr>
        <w:spacing w:line="560" w:lineRule="exact"/>
        <w:ind w:firstLine="640" w:firstLineChars="200"/>
        <w:rPr>
          <w:rFonts w:ascii="仿宋_GB2312" w:eastAsia="仿宋_GB2312" w:cs="仿宋_GB2312"/>
          <w:color w:val="000000"/>
          <w:kern w:val="0"/>
          <w:sz w:val="32"/>
          <w:szCs w:val="32"/>
        </w:rPr>
      </w:pPr>
      <w:r>
        <w:rPr>
          <w:rFonts w:hint="eastAsia" w:ascii="仿宋_GB2312" w:eastAsia="仿宋_GB2312" w:cs="仿宋_GB2312"/>
          <w:color w:val="000000"/>
          <w:kern w:val="0"/>
          <w:sz w:val="32"/>
          <w:szCs w:val="32"/>
        </w:rPr>
        <w:t>规范全区工伤保险业务的文书管理。本规程工伤保险业务表格全区各地遵照执行、主动公示，可在区内各级人力资源社会保障部门和经办机构网站查询、下载。</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cs="仿宋_GB2312"/>
          <w:color w:val="000000"/>
          <w:kern w:val="0"/>
          <w:sz w:val="32"/>
          <w:szCs w:val="32"/>
        </w:rPr>
        <w:t>一体化系统</w:t>
      </w:r>
      <w:r>
        <w:rPr>
          <w:rFonts w:hint="eastAsia" w:ascii="仿宋_GB2312" w:eastAsia="仿宋_GB2312" w:cs="TimesNewRomanPSMT"/>
          <w:color w:val="000000"/>
          <w:kern w:val="0"/>
          <w:sz w:val="32"/>
          <w:szCs w:val="32"/>
        </w:rPr>
        <w:t>和</w:t>
      </w:r>
      <w:r>
        <w:rPr>
          <w:rFonts w:hint="eastAsia" w:ascii="仿宋_GB2312" w:hAnsi="楷体_GB2312" w:eastAsia="仿宋_GB2312" w:cs="楷体_GB2312"/>
          <w:color w:val="000000"/>
          <w:kern w:val="0"/>
          <w:sz w:val="32"/>
          <w:szCs w:val="32"/>
        </w:rPr>
        <w:t>公共服务系统</w:t>
      </w:r>
      <w:r>
        <w:rPr>
          <w:rFonts w:hint="eastAsia" w:ascii="仿宋_GB2312" w:eastAsia="仿宋_GB2312" w:cs="仿宋_GB2312"/>
          <w:color w:val="000000"/>
          <w:kern w:val="0"/>
          <w:sz w:val="32"/>
          <w:szCs w:val="32"/>
        </w:rPr>
        <w:t>支持实施业务办理全程影像化管理。本规程所要求提供的证明材料，核对原件后扫描存入信息系统。推行减证便民措施，社会保险行政部门、劳动能力鉴定机构、经办机构共享参保缴费、工伤认定鉴定、工伤待遇等信息，原则上重复信息不得重复填写，重复材料不得反复提交。能通过一体化系统共享交换获取的信息，不得要求提供。</w:t>
      </w:r>
    </w:p>
    <w:p>
      <w:pPr>
        <w:spacing w:line="560" w:lineRule="exact"/>
        <w:jc w:val="center"/>
        <w:rPr>
          <w:rFonts w:ascii="黑体" w:hAnsi="黑体" w:eastAsia="黑体" w:cs="黑体"/>
          <w:bCs/>
          <w:color w:val="000000"/>
          <w:sz w:val="32"/>
          <w:szCs w:val="32"/>
        </w:rPr>
      </w:pPr>
      <w:bookmarkStart w:id="1" w:name="_Toc89785118"/>
    </w:p>
    <w:p>
      <w:pPr>
        <w:spacing w:line="560" w:lineRule="exact"/>
        <w:jc w:val="center"/>
        <w:rPr>
          <w:rFonts w:ascii="黑体" w:hAnsi="黑体" w:eastAsia="黑体" w:cs="黑体"/>
          <w:bCs/>
          <w:color w:val="000000"/>
          <w:sz w:val="32"/>
          <w:szCs w:val="32"/>
        </w:rPr>
      </w:pPr>
      <w:r>
        <w:rPr>
          <w:rFonts w:hint="eastAsia" w:ascii="黑体" w:hAnsi="黑体" w:eastAsia="黑体" w:cs="黑体"/>
          <w:bCs/>
          <w:color w:val="000000"/>
          <w:sz w:val="32"/>
          <w:szCs w:val="32"/>
        </w:rPr>
        <w:t>第二章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社会保险登记</w:t>
      </w:r>
      <w:bookmarkEnd w:id="1"/>
    </w:p>
    <w:p>
      <w:pPr>
        <w:spacing w:line="560" w:lineRule="exact"/>
        <w:jc w:val="center"/>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社会保险登记包括参保登记、变更登记、注销登记等内容。</w:t>
      </w:r>
    </w:p>
    <w:p>
      <w:pPr>
        <w:pStyle w:val="3"/>
        <w:spacing w:before="0" w:after="0" w:line="560" w:lineRule="exact"/>
        <w:jc w:val="center"/>
        <w:rPr>
          <w:rFonts w:ascii="宋体" w:hAnsi="宋体" w:eastAsia="宋体" w:cs="宋体"/>
          <w:bCs/>
          <w:color w:val="000000"/>
          <w:szCs w:val="32"/>
        </w:rPr>
      </w:pPr>
    </w:p>
    <w:p>
      <w:pPr>
        <w:pStyle w:val="3"/>
        <w:spacing w:before="0" w:after="0" w:line="560" w:lineRule="exact"/>
        <w:jc w:val="center"/>
        <w:rPr>
          <w:rFonts w:ascii="宋体" w:hAnsi="宋体" w:eastAsia="宋体" w:cs="仿宋_GB2312"/>
          <w:bCs/>
          <w:color w:val="000000"/>
          <w:szCs w:val="32"/>
        </w:rPr>
      </w:pPr>
      <w:r>
        <w:rPr>
          <w:rFonts w:hint="eastAsia" w:ascii="宋体" w:hAnsi="宋体" w:eastAsia="宋体" w:cs="宋体"/>
          <w:bCs/>
          <w:color w:val="000000"/>
          <w:szCs w:val="32"/>
        </w:rPr>
        <w:t>第一节 按单位参保方式参保登记</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按照国家相关规定，工伤保险参保登记实行属地管理。企业、有雇工的个体工商户、国家机关、事业单位、社会团体等应当自成立之日起30日内到属地经办机构办理参保登记。</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经办机构通过注册登记部门数据平台或官方网站可以获取用人单位登记信息的，在用人单位申请办理社会保险登记时，应当通过上述渠道接收信息，同步完成社会保险登记，不再要求用人单位提供纸质材料。</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经办机构无法通过数据共享应用获取用人单位登记信息的，用人单位办理社会保险登记时提供以下资料：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（一）统一社会信用代码证；</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（二）法人身份证复印件和联系电话。</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第十一条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单位参保登记事项主要包括：</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（一）单位名称、统一社会信用代码、单位类型、隶属关系</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登记机关、成立日期、所属</w:t>
      </w:r>
      <w:r>
        <w:rPr>
          <w:rFonts w:ascii="仿宋_GB2312" w:hAnsi="仿宋_GB2312" w:eastAsia="仿宋_GB2312" w:cs="仿宋_GB2312"/>
          <w:color w:val="000000"/>
          <w:sz w:val="32"/>
          <w:szCs w:val="32"/>
        </w:rPr>
        <w:t>行业、</w:t>
      </w:r>
      <w:r>
        <w:rPr>
          <w:rFonts w:hint="eastAsia" w:ascii="仿宋_GB2312" w:hAnsi="仿宋_GB2312" w:eastAsia="仿宋_GB2312" w:cs="仿宋_GB2312"/>
          <w:color w:val="000000"/>
          <w:sz w:val="32"/>
          <w:szCs w:val="32"/>
        </w:rPr>
        <w:t>联系地址、联系方式及</w:t>
      </w:r>
      <w:r>
        <w:rPr>
          <w:rFonts w:hint="eastAsia" w:ascii="仿宋" w:hAnsi="仿宋" w:eastAsia="仿宋"/>
          <w:color w:val="000000"/>
          <w:sz w:val="32"/>
          <w:szCs w:val="32"/>
        </w:rPr>
        <w:t>银行信息</w:t>
      </w:r>
      <w:r>
        <w:rPr>
          <w:rFonts w:hint="eastAsia" w:ascii="仿宋_GB2312" w:hAnsi="仿宋_GB2312" w:eastAsia="仿宋_GB2312" w:cs="仿宋_GB2312"/>
          <w:color w:val="000000"/>
          <w:sz w:val="32"/>
          <w:szCs w:val="32"/>
        </w:rPr>
        <w:t>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（二）法定代表人（负责人）有效身份证件信息（证件类型和证件号码）、联系方式。</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第十二条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经办机构根据用人单位营业执照或其他批准成立证件中登记的实际主要经营范围，对照有关工伤保险行业</w:t>
      </w:r>
      <w:r>
        <w:rPr>
          <w:rFonts w:ascii="仿宋_GB2312" w:hAnsi="仿宋_GB2312" w:eastAsia="仿宋_GB2312" w:cs="仿宋_GB2312"/>
          <w:color w:val="000000"/>
          <w:sz w:val="32"/>
          <w:szCs w:val="32"/>
        </w:rPr>
        <w:t>风险</w:t>
      </w:r>
      <w:r>
        <w:rPr>
          <w:rFonts w:hint="eastAsia" w:ascii="仿宋_GB2312" w:hAnsi="仿宋_GB2312" w:eastAsia="仿宋_GB2312" w:cs="仿宋_GB2312"/>
          <w:color w:val="000000"/>
          <w:sz w:val="32"/>
          <w:szCs w:val="32"/>
        </w:rPr>
        <w:t>分类</w:t>
      </w:r>
      <w:r>
        <w:rPr>
          <w:rFonts w:ascii="仿宋_GB2312" w:hAnsi="仿宋_GB2312" w:eastAsia="仿宋_GB2312" w:cs="仿宋_GB2312"/>
          <w:color w:val="000000"/>
          <w:sz w:val="32"/>
          <w:szCs w:val="32"/>
        </w:rPr>
        <w:t>规定</w:t>
      </w:r>
      <w:r>
        <w:rPr>
          <w:rFonts w:hint="eastAsia" w:ascii="仿宋_GB2312" w:hAnsi="仿宋_GB2312" w:eastAsia="仿宋_GB2312" w:cs="仿宋_GB2312"/>
          <w:color w:val="000000"/>
          <w:sz w:val="32"/>
          <w:szCs w:val="32"/>
          <w:vertAlign w:val="superscript"/>
        </w:rPr>
        <w:t>5</w:t>
      </w:r>
      <w:r>
        <w:rPr>
          <w:rFonts w:hint="eastAsia" w:ascii="仿宋_GB2312" w:hAnsi="仿宋_GB2312" w:eastAsia="仿宋_GB2312" w:cs="仿宋_GB2312"/>
          <w:color w:val="000000"/>
          <w:sz w:val="32"/>
          <w:szCs w:val="32"/>
        </w:rPr>
        <w:t>，确定其工伤行业风险类别。</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对于劳务派遣企业，可根据被派遣劳动者实际用工单位所在行业，或根据多数被派遣劳动者实际用工单位所在行业等</w:t>
      </w:r>
      <w:r>
        <w:rPr>
          <w:rFonts w:ascii="仿宋_GB2312" w:hAnsi="仿宋_GB2312" w:eastAsia="仿宋_GB2312" w:cs="仿宋_GB2312"/>
          <w:color w:val="000000"/>
          <w:sz w:val="32"/>
          <w:szCs w:val="32"/>
        </w:rPr>
        <w:t>因素</w:t>
      </w:r>
      <w:r>
        <w:rPr>
          <w:rFonts w:hint="eastAsia" w:ascii="仿宋_GB2312" w:hAnsi="仿宋_GB2312" w:eastAsia="仿宋_GB2312" w:cs="仿宋_GB2312"/>
          <w:color w:val="000000"/>
          <w:sz w:val="32"/>
          <w:szCs w:val="32"/>
        </w:rPr>
        <w:t>，综合确定其工伤风险类别。</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第十三条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企业、有雇工的个体工商户、国家机关、事业单位，社会团体等完成社保登记后，通过公共服务系统，在用工之日起30日内为用工人员签订劳动合同，并填写用工人员姓名、有效身份证号、联系方式与地址、用工日期等信息。劳动合同经人社部门线上备案后，完成用工人员参保登记。</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国家机关、事业单位在编人员参保登记，应当通过公共服务系统，上传在编人员录用文件、工资审批表等材料，通过机关事业养老保险经办审核后完成参保登记。</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第十四条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color w:val="000000"/>
          <w:sz w:val="32"/>
          <w:szCs w:val="32"/>
        </w:rPr>
        <w:t>按单位参保方式</w:t>
      </w:r>
      <w:r>
        <w:rPr>
          <w:rFonts w:hint="eastAsia" w:ascii="仿宋_GB2312" w:hAnsi="仿宋_GB2312" w:eastAsia="仿宋_GB2312" w:cs="仿宋_GB2312"/>
          <w:color w:val="000000"/>
          <w:sz w:val="32"/>
          <w:szCs w:val="32"/>
        </w:rPr>
        <w:t>工伤保险生效时间。参保单位职工的工伤保险生效时间为用人单位为其首次完成缴费核定信息的次日起生效。机关事业单位在编人员以实际缴费信息为准。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参保单位职工首次缴费核定前发生工伤，用人单位自用工之日起30日内为该职工依法核定缴费的，按规定由工伤保险基金和用人单位自到账日期次日起支付新发生的费用。</w:t>
      </w:r>
    </w:p>
    <w:p>
      <w:pPr>
        <w:spacing w:line="560" w:lineRule="exact"/>
        <w:ind w:firstLine="640" w:firstLineChars="200"/>
        <w:rPr>
          <w:rFonts w:ascii="仿宋_GB2312" w:hAnsi="ˎ̥" w:eastAsia="仿宋_GB2312" w:cs="Arial"/>
          <w:color w:val="000000"/>
          <w:kern w:val="0"/>
          <w:sz w:val="32"/>
          <w:szCs w:val="32"/>
        </w:rPr>
      </w:pPr>
      <w:r>
        <w:rPr>
          <w:rFonts w:hint="eastAsia" w:ascii="黑体" w:hAnsi="黑体" w:eastAsia="黑体" w:cs="黑体"/>
          <w:color w:val="000000"/>
          <w:sz w:val="32"/>
          <w:szCs w:val="32"/>
        </w:rPr>
        <w:t>第十五条</w:t>
      </w:r>
      <w:r>
        <w:rPr>
          <w:rFonts w:hint="eastAsia" w:ascii="仿宋_GB2312" w:hAnsi="仿宋_GB2312" w:eastAsia="仿宋_GB2312" w:cs="仿宋_GB2312"/>
          <w:b/>
          <w:bCs/>
          <w:color w:val="000000"/>
          <w:sz w:val="32"/>
          <w:szCs w:val="32"/>
        </w:rPr>
        <w:t xml:space="preserve"> </w:t>
      </w:r>
      <w:r>
        <w:rPr>
          <w:rFonts w:hint="eastAsia" w:ascii="仿宋_GB2312" w:hAnsi="ˎ̥" w:eastAsia="仿宋_GB2312" w:cs="Arial"/>
          <w:color w:val="000000"/>
          <w:kern w:val="0"/>
          <w:sz w:val="32"/>
          <w:szCs w:val="32"/>
        </w:rPr>
        <w:t>用人单位注册地与生产经营地不在同一统筹地区的，原则上应在注册地为职工参加工伤保险；未在注册地参加工伤保险的职工，可由用人单位在生产经营地为其参加工伤保险。</w:t>
      </w:r>
    </w:p>
    <w:p>
      <w:pPr>
        <w:spacing w:line="560" w:lineRule="exact"/>
        <w:ind w:firstLine="640" w:firstLineChars="200"/>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劳务派遣单位跨地区派遣劳动者，应根据《劳务派遣暂行规定》参加工伤保险。</w:t>
      </w:r>
      <w:r>
        <w:rPr>
          <w:rFonts w:hint="eastAsia" w:ascii="仿宋_GB2312" w:hAnsi="宋体" w:eastAsia="仿宋_GB2312" w:cs="宋体"/>
          <w:color w:val="000000"/>
          <w:kern w:val="0"/>
          <w:sz w:val="32"/>
          <w:szCs w:val="32"/>
        </w:rPr>
        <w:t>劳务派遣单位跨地区派遣劳动者的，应当在用工单位所在地为被派遣劳动者参加社会保险，按照用工单位所在地的规定缴纳社会保险费，被派遣劳动者按照国家规定享受社会保险待遇。</w:t>
      </w:r>
      <w:r>
        <w:rPr>
          <w:rFonts w:hint="eastAsia" w:ascii="仿宋_GB2312" w:hAnsi="ˎ̥" w:eastAsia="仿宋_GB2312" w:cs="Arial"/>
          <w:color w:val="000000"/>
          <w:kern w:val="0"/>
          <w:sz w:val="32"/>
          <w:szCs w:val="32"/>
        </w:rPr>
        <w:t>建筑施工企业按项目参保的，应在施工项目所在地参加工伤保险。</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对在自治区外参加其他社会保险而申请在本地区以单位参保方式参加工伤保险的，应提供其在自治区外的参保缴费证明。</w:t>
      </w:r>
    </w:p>
    <w:p>
      <w:pPr>
        <w:pStyle w:val="3"/>
        <w:spacing w:before="0" w:after="0" w:line="560" w:lineRule="exact"/>
        <w:ind w:firstLine="643"/>
        <w:jc w:val="center"/>
        <w:rPr>
          <w:rFonts w:ascii="宋体" w:hAnsi="宋体" w:eastAsia="宋体" w:cs="宋体"/>
          <w:color w:val="000000"/>
          <w:szCs w:val="32"/>
        </w:rPr>
      </w:pPr>
    </w:p>
    <w:p>
      <w:pPr>
        <w:pStyle w:val="3"/>
        <w:spacing w:before="0" w:after="0" w:line="560" w:lineRule="exact"/>
        <w:ind w:firstLine="643"/>
        <w:jc w:val="center"/>
        <w:rPr>
          <w:rFonts w:ascii="宋体" w:hAnsi="宋体" w:eastAsia="宋体" w:cs="宋体"/>
          <w:color w:val="000000"/>
          <w:szCs w:val="32"/>
        </w:rPr>
      </w:pPr>
      <w:r>
        <w:rPr>
          <w:rFonts w:hint="eastAsia" w:ascii="宋体" w:hAnsi="宋体" w:eastAsia="宋体" w:cs="宋体"/>
          <w:color w:val="000000"/>
          <w:szCs w:val="32"/>
        </w:rPr>
        <w:t>第二节</w:t>
      </w:r>
      <w:r>
        <w:rPr>
          <w:rFonts w:ascii="宋体" w:hAnsi="宋体" w:eastAsia="宋体" w:cs="宋体"/>
          <w:color w:val="000000"/>
          <w:szCs w:val="32"/>
        </w:rPr>
        <w:t xml:space="preserve"> </w:t>
      </w:r>
      <w:r>
        <w:rPr>
          <w:rFonts w:hint="eastAsia" w:ascii="宋体" w:hAnsi="宋体" w:eastAsia="宋体" w:cs="宋体"/>
          <w:color w:val="000000"/>
          <w:szCs w:val="32"/>
        </w:rPr>
        <w:t>按工程建设项目参保方式参保登记</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Style w:val="54"/>
          <w:rFonts w:hint="default" w:hAnsi="Arial"/>
          <w:b/>
        </w:rPr>
      </w:pPr>
      <w:r>
        <w:rPr>
          <w:rFonts w:hint="eastAsia" w:ascii="黑体" w:hAnsi="黑体" w:eastAsia="黑体" w:cs="黑体"/>
          <w:color w:val="000000"/>
          <w:sz w:val="32"/>
          <w:szCs w:val="32"/>
        </w:rPr>
        <w:t>第十六条</w:t>
      </w:r>
      <w:r>
        <w:rPr>
          <w:rFonts w:ascii="仿宋_GB2312" w:hAnsi="仿宋_GB2312" w:eastAsia="仿宋_GB2312" w:cs="仿宋_GB2312"/>
          <w:color w:val="000000"/>
          <w:sz w:val="32"/>
          <w:szCs w:val="32"/>
          <w:lang w:val="en"/>
        </w:rPr>
        <w:t xml:space="preserve"> </w:t>
      </w:r>
      <w:r>
        <w:rPr>
          <w:rStyle w:val="54"/>
          <w:rFonts w:hint="default"/>
        </w:rPr>
        <w:t>我区境内各类房屋建筑和市政基础设施、铁路、公路、水运、水利、能源、机场建设工程的新建、扩建、改建和拆除等有关施工项目，应按规定参加工伤保险、缴纳工伤保险费。</w:t>
      </w:r>
    </w:p>
    <w:p>
      <w:pPr>
        <w:spacing w:line="560" w:lineRule="exact"/>
        <w:ind w:firstLine="640" w:firstLineChars="200"/>
        <w:rPr>
          <w:rFonts w:ascii="仿宋_GB2312" w:eastAsia="仿宋_GB2312"/>
          <w:color w:val="000000"/>
          <w:sz w:val="32"/>
          <w:szCs w:val="32"/>
        </w:rPr>
      </w:pPr>
      <w:r>
        <w:rPr>
          <w:rFonts w:ascii="仿宋_GB2312" w:eastAsia="仿宋_GB2312"/>
          <w:color w:val="000000"/>
          <w:sz w:val="32"/>
          <w:szCs w:val="32"/>
        </w:rPr>
        <w:t>建设施工企业相对固定的职工</w:t>
      </w:r>
      <w:r>
        <w:rPr>
          <w:rFonts w:hint="eastAsia" w:ascii="仿宋_GB2312" w:eastAsia="仿宋_GB2312"/>
          <w:color w:val="000000"/>
          <w:sz w:val="32"/>
          <w:szCs w:val="32"/>
        </w:rPr>
        <w:t>，</w:t>
      </w:r>
      <w:r>
        <w:rPr>
          <w:rFonts w:ascii="仿宋_GB2312" w:eastAsia="仿宋_GB2312"/>
          <w:color w:val="000000"/>
          <w:sz w:val="32"/>
          <w:szCs w:val="32"/>
        </w:rPr>
        <w:t>应按用人单位参加工伤保险</w:t>
      </w:r>
      <w:r>
        <w:rPr>
          <w:rFonts w:hint="eastAsia" w:ascii="仿宋_GB2312" w:eastAsia="仿宋_GB2312"/>
          <w:color w:val="000000"/>
          <w:sz w:val="32"/>
          <w:szCs w:val="32"/>
        </w:rPr>
        <w:t>。</w:t>
      </w:r>
      <w:r>
        <w:rPr>
          <w:rFonts w:ascii="仿宋_GB2312" w:eastAsia="仿宋_GB2312"/>
          <w:color w:val="000000"/>
          <w:sz w:val="32"/>
          <w:szCs w:val="32"/>
        </w:rPr>
        <w:t>对不能按用人单位</w:t>
      </w:r>
      <w:r>
        <w:rPr>
          <w:rFonts w:hint="eastAsia" w:ascii="仿宋_GB2312" w:eastAsia="仿宋_GB2312"/>
          <w:color w:val="000000"/>
          <w:sz w:val="32"/>
          <w:szCs w:val="32"/>
        </w:rPr>
        <w:t>方式</w:t>
      </w:r>
      <w:r>
        <w:rPr>
          <w:rFonts w:ascii="仿宋_GB2312" w:eastAsia="仿宋_GB2312"/>
          <w:color w:val="000000"/>
          <w:sz w:val="32"/>
          <w:szCs w:val="32"/>
        </w:rPr>
        <w:t>参加工伤保险的职工</w:t>
      </w:r>
      <w:r>
        <w:rPr>
          <w:rFonts w:hint="eastAsia" w:ascii="仿宋_GB2312" w:eastAsia="仿宋_GB2312"/>
          <w:color w:val="000000"/>
          <w:sz w:val="32"/>
          <w:szCs w:val="32"/>
        </w:rPr>
        <w:t>，</w:t>
      </w:r>
      <w:r>
        <w:rPr>
          <w:rFonts w:ascii="仿宋_GB2312" w:eastAsia="仿宋_GB2312"/>
          <w:color w:val="000000"/>
          <w:sz w:val="32"/>
          <w:szCs w:val="32"/>
        </w:rPr>
        <w:t>应按工程建设项目（标段）优先参加工伤保险</w:t>
      </w:r>
      <w:r>
        <w:rPr>
          <w:rFonts w:hint="eastAsia" w:ascii="仿宋_GB2312" w:eastAsia="仿宋_GB2312"/>
          <w:color w:val="000000"/>
          <w:sz w:val="32"/>
          <w:szCs w:val="32"/>
        </w:rPr>
        <w:t>。</w:t>
      </w:r>
      <w:r>
        <w:rPr>
          <w:rFonts w:ascii="仿宋_GB2312" w:eastAsia="仿宋_GB2312"/>
          <w:color w:val="000000"/>
          <w:sz w:val="32"/>
          <w:szCs w:val="32"/>
        </w:rPr>
        <w:t>铁路建设项目有关人员</w:t>
      </w:r>
      <w:r>
        <w:rPr>
          <w:rFonts w:hint="eastAsia" w:ascii="仿宋_GB2312" w:eastAsia="仿宋_GB2312"/>
          <w:color w:val="000000"/>
          <w:sz w:val="32"/>
          <w:szCs w:val="32"/>
        </w:rPr>
        <w:t>，</w:t>
      </w:r>
      <w:r>
        <w:rPr>
          <w:rFonts w:ascii="仿宋_GB2312" w:eastAsia="仿宋_GB2312"/>
          <w:color w:val="000000"/>
          <w:sz w:val="32"/>
          <w:szCs w:val="32"/>
        </w:rPr>
        <w:t>按照国家及国铁集团公司规定参加工伤保险</w:t>
      </w:r>
      <w:r>
        <w:rPr>
          <w:rFonts w:hint="eastAsia" w:ascii="仿宋_GB2312" w:eastAsia="仿宋_GB2312"/>
          <w:color w:val="000000"/>
          <w:sz w:val="32"/>
          <w:szCs w:val="32"/>
        </w:rPr>
        <w:t>。</w:t>
      </w:r>
      <w:r>
        <w:rPr>
          <w:rFonts w:ascii="仿宋_GB2312" w:eastAsia="仿宋_GB2312"/>
          <w:color w:val="000000"/>
          <w:sz w:val="32"/>
          <w:szCs w:val="32"/>
        </w:rPr>
        <w:t>由施工项目总承包单位或项目标段合同承建单位（以下统称为</w:t>
      </w:r>
      <w:r>
        <w:rPr>
          <w:rFonts w:hint="eastAsia" w:ascii="TimesNewRomanPSMT"/>
          <w:color w:val="000000"/>
          <w:sz w:val="32"/>
          <w:szCs w:val="32"/>
        </w:rPr>
        <w:t>“</w:t>
      </w:r>
      <w:r>
        <w:rPr>
          <w:rFonts w:ascii="仿宋_GB2312" w:eastAsia="仿宋_GB2312"/>
          <w:color w:val="000000"/>
          <w:sz w:val="32"/>
          <w:szCs w:val="32"/>
        </w:rPr>
        <w:t>施工承包单位</w:t>
      </w:r>
      <w:r>
        <w:rPr>
          <w:rFonts w:hint="eastAsia" w:ascii="TimesNewRomanPSMT"/>
          <w:color w:val="000000"/>
          <w:sz w:val="32"/>
          <w:szCs w:val="32"/>
        </w:rPr>
        <w:t>”</w:t>
      </w:r>
      <w:r>
        <w:rPr>
          <w:rFonts w:ascii="仿宋_GB2312" w:eastAsia="仿宋_GB2312"/>
          <w:color w:val="000000"/>
          <w:sz w:val="32"/>
          <w:szCs w:val="32"/>
        </w:rPr>
        <w:t>）到当地的社保经办机构和税务部门为所承建的工程建设项目（标段）办理工伤保险参保缴费手续</w:t>
      </w:r>
      <w:r>
        <w:rPr>
          <w:rFonts w:hint="eastAsia" w:ascii="仿宋_GB2312" w:eastAsia="仿宋_GB2312"/>
          <w:color w:val="000000"/>
          <w:sz w:val="32"/>
          <w:szCs w:val="32"/>
        </w:rPr>
        <w:t>。</w:t>
      </w:r>
      <w:r>
        <w:rPr>
          <w:rFonts w:ascii="仿宋_GB2312" w:eastAsia="仿宋_GB2312"/>
          <w:color w:val="000000"/>
          <w:sz w:val="32"/>
          <w:szCs w:val="32"/>
        </w:rPr>
        <w:t>对于跨市</w:t>
      </w:r>
      <w:r>
        <w:rPr>
          <w:rFonts w:hint="eastAsia" w:ascii="仿宋_GB2312" w:eastAsia="仿宋_GB2312"/>
          <w:color w:val="000000"/>
          <w:sz w:val="32"/>
          <w:szCs w:val="32"/>
        </w:rPr>
        <w:t>、</w:t>
      </w:r>
      <w:r>
        <w:rPr>
          <w:rFonts w:ascii="仿宋_GB2312" w:eastAsia="仿宋_GB2312"/>
          <w:color w:val="000000"/>
          <w:sz w:val="32"/>
          <w:szCs w:val="32"/>
        </w:rPr>
        <w:t>县的工程建设项目（标段）</w:t>
      </w:r>
      <w:r>
        <w:rPr>
          <w:rFonts w:hint="eastAsia" w:ascii="仿宋_GB2312" w:eastAsia="仿宋_GB2312"/>
          <w:color w:val="000000"/>
          <w:sz w:val="32"/>
          <w:szCs w:val="32"/>
        </w:rPr>
        <w:t>，</w:t>
      </w:r>
      <w:r>
        <w:rPr>
          <w:rFonts w:ascii="仿宋_GB2312" w:eastAsia="仿宋_GB2312"/>
          <w:color w:val="000000"/>
          <w:sz w:val="32"/>
          <w:szCs w:val="32"/>
        </w:rPr>
        <w:t>原则上应</w:t>
      </w:r>
      <w:r>
        <w:rPr>
          <w:rFonts w:hint="eastAsia" w:ascii="仿宋_GB2312" w:eastAsia="仿宋_GB2312"/>
          <w:color w:val="000000"/>
          <w:sz w:val="32"/>
          <w:szCs w:val="32"/>
        </w:rPr>
        <w:t>在</w:t>
      </w:r>
      <w:r>
        <w:rPr>
          <w:rFonts w:ascii="仿宋_GB2312" w:eastAsia="仿宋_GB2312"/>
          <w:color w:val="000000"/>
          <w:sz w:val="32"/>
          <w:szCs w:val="32"/>
        </w:rPr>
        <w:t>工程项目所在地社保经办机构和税务部门办理相关参保缴费手续。</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第十七条</w:t>
      </w:r>
      <w:r>
        <w:rPr>
          <w:rFonts w:ascii="黑体" w:hAnsi="黑体" w:eastAsia="黑体" w:cs="黑体"/>
          <w:color w:val="000000"/>
          <w:sz w:val="32"/>
          <w:szCs w:val="32"/>
        </w:rPr>
        <w:t xml:space="preserve"> </w:t>
      </w:r>
      <w:r>
        <w:rPr>
          <w:rFonts w:hint="eastAsia" w:ascii="仿宋_GB2312" w:eastAsia="仿宋_GB2312"/>
          <w:color w:val="000000"/>
          <w:sz w:val="32"/>
          <w:szCs w:val="32"/>
        </w:rPr>
        <w:t>房屋建筑工程包括房屋建筑物和附属构筑物设施相关的地基与基础、主体结构、建筑给水排水、采暖通风、建筑电气、智能建筑及装饰装修工程；市政基础设施工程包括城市道路、桥梁、供水、排水、污水处理、燃气、热力、垃圾处理、防洪等设施的土建和管道安装工程；机电工程包括管道建设、消防建设等工程；其他道路工程包括公路建设、铁路建设、涵洞隧道建设等工程；其他市政设施工程包括广场、园林建设、停车场等工程。</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第十八条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项目登记。</w:t>
      </w:r>
      <w:r>
        <w:rPr>
          <w:rFonts w:ascii="仿宋_GB2312" w:eastAsia="仿宋_GB2312"/>
          <w:color w:val="000000"/>
          <w:sz w:val="32"/>
          <w:szCs w:val="32"/>
        </w:rPr>
        <w:t>建设施工企业</w:t>
      </w:r>
      <w:r>
        <w:rPr>
          <w:rFonts w:hint="eastAsia" w:ascii="仿宋_GB2312" w:hAnsi="仿宋_GB2312" w:eastAsia="仿宋_GB2312" w:cs="仿宋_GB2312"/>
          <w:color w:val="000000"/>
          <w:sz w:val="32"/>
          <w:szCs w:val="32"/>
        </w:rPr>
        <w:t>在项目所在地经办机构无参保登记信息的，应当先到项目所在地经办机构办理单位参保登记业务。办理完成单位参保登记的</w:t>
      </w:r>
      <w:r>
        <w:rPr>
          <w:rFonts w:ascii="仿宋_GB2312" w:eastAsia="仿宋_GB2312"/>
          <w:color w:val="000000"/>
          <w:sz w:val="32"/>
          <w:szCs w:val="32"/>
        </w:rPr>
        <w:t>建设施工企业</w:t>
      </w:r>
      <w:r>
        <w:rPr>
          <w:rFonts w:hint="eastAsia" w:ascii="仿宋_GB2312" w:hAnsi="仿宋_GB2312" w:eastAsia="仿宋_GB2312" w:cs="仿宋_GB2312"/>
          <w:color w:val="000000"/>
          <w:sz w:val="32"/>
          <w:szCs w:val="32"/>
        </w:rPr>
        <w:t>，在公共服务系统录入项目信息，上传《中标通知书》或《承接工程通知书》，经主管部门备案的《工程施工合同》证照原件。</w:t>
      </w:r>
      <w:r>
        <w:rPr>
          <w:rFonts w:hint="eastAsia" w:ascii="仿宋_GB2312" w:hAnsi="Segoe UI" w:eastAsia="仿宋_GB2312" w:cs="Segoe UI"/>
          <w:color w:val="000000"/>
          <w:sz w:val="32"/>
          <w:szCs w:val="32"/>
        </w:rPr>
        <w:t>建设项目已经转包、分包或劳务分包的，上传转包合同、分包合同或劳务分包合同。</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第十九条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缴费核定。经办机构应在3个工作日内完成项目登记信息审核，重点审核工程造价、施工期限等信息正确性。审核属于工程建设项目参保范围，信息准确完整的，予以确认，经办机构进行缴费核定，并推送税务部门进行征收。审核属于工程建设项目参保范围，需完善信息补正资料的，不予确认，提出审核意见，通过公共服务系统通知</w:t>
      </w:r>
      <w:r>
        <w:rPr>
          <w:rFonts w:ascii="仿宋_GB2312" w:eastAsia="仿宋_GB2312"/>
          <w:color w:val="000000"/>
          <w:sz w:val="32"/>
          <w:szCs w:val="32"/>
        </w:rPr>
        <w:t>建设施工企业</w:t>
      </w:r>
      <w:r>
        <w:rPr>
          <w:rFonts w:hint="eastAsia" w:ascii="仿宋_GB2312" w:eastAsia="仿宋_GB2312"/>
          <w:color w:val="000000"/>
          <w:sz w:val="32"/>
          <w:szCs w:val="32"/>
        </w:rPr>
        <w:t>修改项目登记信息或补充上传资料后再次审核</w:t>
      </w:r>
      <w:r>
        <w:rPr>
          <w:rFonts w:hint="eastAsia" w:ascii="仿宋_GB2312" w:hAnsi="仿宋_GB2312" w:eastAsia="仿宋_GB2312" w:cs="仿宋_GB2312"/>
          <w:color w:val="000000"/>
          <w:sz w:val="32"/>
          <w:szCs w:val="32"/>
        </w:rPr>
        <w:t>。审核不属于工程建设项目参保范围的，只确认项目登记信息，不进行缴费核定。</w:t>
      </w:r>
    </w:p>
    <w:p>
      <w:pPr>
        <w:spacing w:line="560" w:lineRule="exact"/>
        <w:ind w:firstLine="640" w:firstLineChars="200"/>
        <w:rPr>
          <w:rFonts w:ascii="仿宋_GB2312" w:hAnsi="Segoe UI" w:eastAsia="仿宋_GB2312" w:cs="Segoe UI"/>
          <w:color w:val="000000"/>
          <w:sz w:val="32"/>
          <w:szCs w:val="32"/>
        </w:rPr>
      </w:pPr>
      <w:r>
        <w:rPr>
          <w:rFonts w:hint="eastAsia" w:ascii="黑体" w:hAnsi="黑体" w:eastAsia="黑体" w:cs="黑体"/>
          <w:color w:val="000000"/>
          <w:sz w:val="32"/>
          <w:szCs w:val="32"/>
        </w:rPr>
        <w:t>第二十条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项目参保生效时间。</w:t>
      </w:r>
      <w:r>
        <w:rPr>
          <w:rFonts w:hint="eastAsia" w:ascii="仿宋_GB2312" w:hAnsi="Segoe UI" w:eastAsia="仿宋_GB2312" w:cs="Segoe UI"/>
          <w:color w:val="000000"/>
          <w:sz w:val="32"/>
          <w:szCs w:val="32"/>
        </w:rPr>
        <w:t>项目缴费后开工的，保险开始时间和保险终止时间以</w:t>
      </w:r>
      <w:r>
        <w:rPr>
          <w:rFonts w:hint="eastAsia" w:ascii="仿宋_GB2312" w:hAnsi="仿宋_GB2312" w:eastAsia="仿宋_GB2312" w:cs="仿宋_GB2312"/>
          <w:color w:val="000000"/>
          <w:sz w:val="32"/>
          <w:szCs w:val="32"/>
        </w:rPr>
        <w:t>项目登记信息中</w:t>
      </w:r>
      <w:r>
        <w:rPr>
          <w:rFonts w:hint="eastAsia" w:ascii="仿宋_GB2312" w:hAnsi="Segoe UI" w:eastAsia="仿宋_GB2312" w:cs="Segoe UI"/>
          <w:color w:val="000000"/>
          <w:sz w:val="32"/>
          <w:szCs w:val="32"/>
        </w:rPr>
        <w:t>施工合同的开工时间、完工时间为准。项目缴费时已经开工的，保险开始时间为完成项目缴费的次日</w:t>
      </w:r>
      <w:r>
        <w:rPr>
          <w:rFonts w:hint="eastAsia" w:ascii="仿宋_GB2312" w:hAnsi="仿宋_GB2312" w:eastAsia="仿宋_GB2312" w:cs="仿宋_GB2312"/>
          <w:color w:val="000000"/>
          <w:sz w:val="32"/>
          <w:szCs w:val="32"/>
          <w:vertAlign w:val="superscript"/>
        </w:rPr>
        <w:t>6</w:t>
      </w:r>
      <w:r>
        <w:rPr>
          <w:rFonts w:hint="eastAsia" w:ascii="仿宋_GB2312" w:hAnsi="Segoe UI" w:eastAsia="仿宋_GB2312" w:cs="Segoe UI"/>
          <w:color w:val="000000"/>
          <w:sz w:val="32"/>
          <w:szCs w:val="32"/>
        </w:rPr>
        <w:t>。</w:t>
      </w:r>
    </w:p>
    <w:p>
      <w:pPr>
        <w:pStyle w:val="17"/>
        <w:shd w:val="clear" w:color="auto" w:fill="FFFFFF"/>
        <w:spacing w:before="0" w:beforeAutospacing="0" w:after="0" w:afterAutospacing="0" w:line="560" w:lineRule="exact"/>
        <w:ind w:firstLine="641"/>
        <w:jc w:val="both"/>
        <w:rPr>
          <w:rFonts w:ascii="仿宋_GB2312" w:hAnsi="Segoe UI" w:eastAsia="仿宋_GB2312" w:cs="Segoe UI"/>
          <w:color w:val="000000"/>
          <w:sz w:val="32"/>
          <w:szCs w:val="32"/>
        </w:rPr>
      </w:pPr>
      <w:r>
        <w:rPr>
          <w:rFonts w:hint="eastAsia" w:ascii="黑体" w:hAnsi="黑体" w:eastAsia="黑体" w:cs="黑体"/>
          <w:color w:val="000000"/>
          <w:kern w:val="2"/>
          <w:sz w:val="32"/>
          <w:szCs w:val="32"/>
        </w:rPr>
        <w:t>第二十一条</w:t>
      </w:r>
      <w:r>
        <w:rPr>
          <w:rFonts w:ascii="黑体" w:hAnsi="黑体" w:eastAsia="黑体" w:cs="黑体"/>
          <w:color w:val="000000"/>
          <w:kern w:val="2"/>
          <w:sz w:val="32"/>
          <w:szCs w:val="32"/>
        </w:rPr>
        <w:t xml:space="preserve"> </w:t>
      </w:r>
      <w:r>
        <w:rPr>
          <w:rFonts w:hint="eastAsia" w:ascii="仿宋_GB2312" w:hAnsi="仿宋_GB2312" w:eastAsia="仿宋_GB2312" w:cs="仿宋_GB2312"/>
          <w:color w:val="000000"/>
          <w:sz w:val="32"/>
          <w:szCs w:val="32"/>
        </w:rPr>
        <w:t>项目延期登记。</w:t>
      </w:r>
      <w:r>
        <w:rPr>
          <w:rFonts w:ascii="仿宋_GB2312" w:eastAsia="仿宋_GB2312"/>
          <w:color w:val="000000"/>
          <w:sz w:val="32"/>
          <w:szCs w:val="32"/>
        </w:rPr>
        <w:t>建设施工企业</w:t>
      </w:r>
      <w:r>
        <w:rPr>
          <w:rFonts w:hint="eastAsia" w:ascii="仿宋_GB2312" w:hAnsi="Segoe UI" w:eastAsia="仿宋_GB2312" w:cs="Segoe UI"/>
          <w:color w:val="000000"/>
          <w:sz w:val="32"/>
          <w:szCs w:val="32"/>
        </w:rPr>
        <w:t>因拆迁问题、发包方过失、天气影响或其他不可抗力原因导致建设项目拖延的，应及时在公共服务系统申请变更项目结束时间，上传</w:t>
      </w:r>
      <w:r>
        <w:rPr>
          <w:rFonts w:hint="eastAsia" w:ascii="仿宋_GB2312" w:eastAsia="仿宋_GB2312"/>
          <w:color w:val="000000"/>
          <w:sz w:val="32"/>
          <w:szCs w:val="32"/>
        </w:rPr>
        <w:t>《宁夏工程建设项目工伤保险延期登记表》（附件1）</w:t>
      </w:r>
      <w:r>
        <w:rPr>
          <w:rFonts w:hint="eastAsia" w:ascii="仿宋_GB2312" w:hAnsi="Segoe UI" w:eastAsia="仿宋_GB2312" w:cs="Segoe UI"/>
          <w:color w:val="000000"/>
          <w:sz w:val="32"/>
          <w:szCs w:val="32"/>
        </w:rPr>
        <w:t>，并由经办机构进行审核后生效。</w:t>
      </w:r>
    </w:p>
    <w:p>
      <w:pPr>
        <w:spacing w:line="560" w:lineRule="exact"/>
        <w:ind w:firstLine="640" w:firstLineChars="200"/>
        <w:rPr>
          <w:rFonts w:ascii="仿宋_GB2312" w:hAnsi="Times New Roman" w:eastAsia="仿宋_GB2312"/>
          <w:color w:val="000000"/>
          <w:sz w:val="32"/>
          <w:szCs w:val="32"/>
          <w:shd w:val="clear" w:color="auto" w:fill="FFFFFF"/>
        </w:rPr>
      </w:pPr>
      <w:r>
        <w:rPr>
          <w:rFonts w:hint="eastAsia" w:ascii="黑体" w:hAnsi="黑体" w:eastAsia="黑体" w:cs="黑体"/>
          <w:color w:val="000000"/>
          <w:sz w:val="32"/>
          <w:szCs w:val="32"/>
        </w:rPr>
        <w:t>第二十二条</w:t>
      </w:r>
      <w:r>
        <w:rPr>
          <w:rFonts w:hint="eastAsia" w:ascii="仿宋_GB2312" w:hAnsi="仿宋_GB2312" w:eastAsia="仿宋_GB2312" w:cs="仿宋_GB2312"/>
          <w:color w:val="000000"/>
          <w:sz w:val="32"/>
          <w:szCs w:val="32"/>
        </w:rPr>
        <w:t xml:space="preserve"> 项目人员登记。</w:t>
      </w:r>
      <w:r>
        <w:rPr>
          <w:rFonts w:hint="eastAsia" w:ascii="仿宋_GB2312" w:hAnsi="Segoe UI" w:eastAsia="仿宋_GB2312" w:cs="Segoe UI"/>
          <w:color w:val="000000"/>
          <w:sz w:val="32"/>
          <w:szCs w:val="32"/>
        </w:rPr>
        <w:t>经办机构建立24小时网上申报的动态实名申报方式，依托</w:t>
      </w:r>
      <w:r>
        <w:rPr>
          <w:rFonts w:hint="eastAsia" w:ascii="仿宋_GB2312" w:hAnsi="Times New Roman" w:eastAsia="仿宋_GB2312"/>
          <w:color w:val="000000"/>
          <w:sz w:val="32"/>
          <w:szCs w:val="32"/>
          <w:shd w:val="clear" w:color="auto" w:fill="FFFFFF"/>
        </w:rPr>
        <w:t>一体化系统劳动用工“一件事”功能，打通劳动合同签订、劳动合同备案、社保参保登记的线上服务链条。</w:t>
      </w:r>
    </w:p>
    <w:p>
      <w:pPr>
        <w:spacing w:line="560" w:lineRule="exact"/>
        <w:ind w:firstLine="640" w:firstLineChars="200"/>
        <w:rPr>
          <w:rFonts w:ascii="仿宋_GB2312" w:hAnsi="Times New Roman" w:eastAsia="仿宋_GB2312"/>
          <w:color w:val="000000"/>
          <w:sz w:val="32"/>
          <w:szCs w:val="32"/>
          <w:shd w:val="clear" w:color="auto" w:fill="FFFFFF"/>
        </w:rPr>
      </w:pPr>
      <w:r>
        <w:rPr>
          <w:rFonts w:hint="eastAsia" w:ascii="仿宋_GB2312" w:hAnsi="Segoe UI" w:eastAsia="仿宋_GB2312" w:cs="Segoe UI"/>
          <w:color w:val="000000"/>
          <w:sz w:val="32"/>
          <w:szCs w:val="32"/>
        </w:rPr>
        <w:t>建设施工企业应通过</w:t>
      </w:r>
      <w:r>
        <w:rPr>
          <w:rFonts w:hint="eastAsia" w:ascii="仿宋_GB2312" w:hAnsi="仿宋_GB2312" w:eastAsia="仿宋_GB2312" w:cs="仿宋_GB2312"/>
          <w:color w:val="000000"/>
          <w:sz w:val="32"/>
          <w:szCs w:val="32"/>
        </w:rPr>
        <w:t>公共服务系统</w:t>
      </w:r>
      <w:r>
        <w:rPr>
          <w:rFonts w:hint="eastAsia" w:ascii="仿宋_GB2312" w:hAnsi="Segoe UI" w:eastAsia="仿宋_GB2312" w:cs="Segoe UI"/>
          <w:color w:val="000000"/>
          <w:sz w:val="32"/>
          <w:szCs w:val="32"/>
        </w:rPr>
        <w:t>依法与职工签订劳动合同，督促工程承包单位、劳务分包单位</w:t>
      </w:r>
      <w:r>
        <w:rPr>
          <w:rFonts w:hint="eastAsia" w:ascii="仿宋_GB2312" w:hAnsi="Times New Roman" w:eastAsia="仿宋_GB2312"/>
          <w:color w:val="000000"/>
          <w:sz w:val="32"/>
          <w:szCs w:val="32"/>
          <w:shd w:val="clear" w:color="auto" w:fill="FFFFFF"/>
        </w:rPr>
        <w:t>依法与所招用的人员线上签订劳动合同进行用工实名登记，</w:t>
      </w:r>
      <w:r>
        <w:rPr>
          <w:rFonts w:hint="eastAsia" w:ascii="仿宋_GB2312" w:hAnsi="Segoe UI" w:eastAsia="仿宋_GB2312" w:cs="Segoe UI"/>
          <w:color w:val="000000"/>
          <w:sz w:val="32"/>
          <w:szCs w:val="32"/>
        </w:rPr>
        <w:t>对全部施工人员实行动态实名制管理。</w:t>
      </w:r>
      <w:r>
        <w:rPr>
          <w:rFonts w:hint="eastAsia" w:ascii="仿宋_GB2312" w:hAnsi="Times New Roman" w:eastAsia="仿宋_GB2312"/>
          <w:color w:val="000000"/>
          <w:sz w:val="32"/>
          <w:szCs w:val="32"/>
          <w:shd w:val="clear" w:color="auto" w:fill="FFFFFF"/>
        </w:rPr>
        <w:t>线上签订劳动合同后，一体化系统自动关联办理劳动合同备案、人员参保登记。</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已参保生效项目新增人员工伤保险生效时间为施工总承包单位或者分包单位与所</w:t>
      </w:r>
      <w:r>
        <w:rPr>
          <w:rFonts w:hint="eastAsia" w:ascii="仿宋_GB2312" w:hAnsi="Times New Roman" w:eastAsia="仿宋_GB2312"/>
          <w:color w:val="000000"/>
          <w:sz w:val="32"/>
          <w:szCs w:val="32"/>
          <w:shd w:val="clear" w:color="auto" w:fill="FFFFFF"/>
        </w:rPr>
        <w:t>招用的人员线上签订劳动合同（以单位签章时间为准）的</w:t>
      </w:r>
      <w:r>
        <w:rPr>
          <w:rFonts w:hint="eastAsia" w:ascii="仿宋_GB2312" w:hAnsi="仿宋_GB2312" w:eastAsia="仿宋_GB2312" w:cs="仿宋_GB2312"/>
          <w:color w:val="000000"/>
          <w:sz w:val="32"/>
          <w:szCs w:val="32"/>
        </w:rPr>
        <w:t>次日。</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第二十三条</w:t>
      </w:r>
      <w:r>
        <w:rPr>
          <w:rFonts w:hint="eastAsia" w:ascii="仿宋_GB2312" w:hAnsi="仿宋_GB2312" w:eastAsia="仿宋_GB2312" w:cs="仿宋_GB2312"/>
          <w:color w:val="000000"/>
          <w:sz w:val="32"/>
          <w:szCs w:val="32"/>
        </w:rPr>
        <w:t xml:space="preserve"> 已经以</w:t>
      </w:r>
      <w:r>
        <w:rPr>
          <w:rFonts w:ascii="仿宋_GB2312" w:eastAsia="仿宋_GB2312"/>
          <w:color w:val="000000"/>
          <w:sz w:val="32"/>
          <w:szCs w:val="32"/>
        </w:rPr>
        <w:t>用人单位</w:t>
      </w:r>
      <w:r>
        <w:rPr>
          <w:rFonts w:hint="eastAsia" w:ascii="仿宋_GB2312" w:eastAsia="仿宋_GB2312"/>
          <w:color w:val="000000"/>
          <w:sz w:val="32"/>
          <w:szCs w:val="32"/>
        </w:rPr>
        <w:t>方式</w:t>
      </w:r>
      <w:r>
        <w:rPr>
          <w:rFonts w:hint="eastAsia" w:ascii="仿宋_GB2312" w:hAnsi="仿宋_GB2312" w:eastAsia="仿宋_GB2312" w:cs="仿宋_GB2312"/>
          <w:color w:val="000000"/>
          <w:sz w:val="32"/>
          <w:szCs w:val="32"/>
        </w:rPr>
        <w:t>参加工伤保险的用工人员，不得在同一家参保单位以工程建设项目方式参加工伤保险。</w:t>
      </w:r>
    </w:p>
    <w:p>
      <w:pPr>
        <w:pStyle w:val="3"/>
        <w:spacing w:before="0" w:after="0" w:line="560" w:lineRule="exact"/>
        <w:jc w:val="center"/>
        <w:rPr>
          <w:rFonts w:ascii="宋体" w:hAnsi="宋体" w:eastAsia="宋体" w:cs="宋体"/>
          <w:color w:val="000000"/>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第三节</w:t>
      </w:r>
      <w:r>
        <w:rPr>
          <w:rFonts w:ascii="宋体" w:hAnsi="宋体" w:eastAsia="宋体" w:cs="宋体"/>
          <w:color w:val="000000"/>
          <w:szCs w:val="32"/>
        </w:rPr>
        <w:t xml:space="preserve"> </w:t>
      </w:r>
      <w:r>
        <w:rPr>
          <w:rFonts w:hint="eastAsia" w:ascii="宋体" w:hAnsi="宋体" w:eastAsia="宋体" w:cs="宋体"/>
          <w:color w:val="000000"/>
          <w:szCs w:val="32"/>
        </w:rPr>
        <w:t>变更登记</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第二十四条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用人单位的单位名称、联系地址、法定代表人（负责人）、单位类型、证照代码、主管部门或隶属关系、开户银行和账号以及经营范围等社会保险登记事项发生变更的，应当自变更之日起30日内到经办机构办理变更登记，填写《宁夏回族自治区社会保险变更登记表》</w:t>
      </w:r>
      <w:r>
        <w:rPr>
          <w:rFonts w:hint="eastAsia" w:ascii="仿宋_GB2312" w:eastAsia="仿宋_GB2312"/>
          <w:color w:val="000000"/>
          <w:sz w:val="32"/>
          <w:szCs w:val="32"/>
        </w:rPr>
        <w:t>（附件2）</w:t>
      </w:r>
      <w:r>
        <w:rPr>
          <w:rFonts w:hint="eastAsia" w:ascii="仿宋_GB2312" w:hAnsi="仿宋_GB2312" w:eastAsia="仿宋_GB2312" w:cs="仿宋_GB2312"/>
          <w:color w:val="000000"/>
          <w:sz w:val="32"/>
          <w:szCs w:val="32"/>
        </w:rPr>
        <w:t>并提供下列材料：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（一）单位名称、住所、类型、证照代码、发生变更的，提供统一社会信用代码证书；法定代表人或者负责人发生变更的，还需提供法人或负责人的身份证复印件及联系电话；</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（二）机关、事业单位改制的，提供批准改制的文件；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（三）单位撤销、解散、合并、改制、分立的，提供相应文件或法律文书。</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第二十五条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经办机构及时审核用人单位的工伤保险变更登记事项，即时为其办理变更登记手续，将相关办理资料按规定归档管理。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未通过变更审核的，经办机构应向用人单位说明原因，并告知用人单位补正材料后可再次申请办理。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经办机构能够通过注册登记部门数据平台获取参保单位社会保险登记事项变更信息及相关资料的，不再要求参保单位提供办理变更所需资料。</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第二十六条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用人单位增加用工人员，通过在公共服务系统进行劳动合同签订的方式完成。减少用工人员时，在公共服务系统解除劳动合同，用人单位应为职工核定缴纳解除劳动合同当月的工伤保险费。</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第二十七条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用人单位或参保人员申请变更人员登记信息的，需提供以下材料：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参保人员姓名、出生日期、身份证件号码等信息变更时，需提交身份证、户口本或公安机关出具的户籍注销证明原件，经办机构审核确认后完成个人登记信息变更；由用人单位代为办理的还需出具加盖单位公章的情况说明。</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（二）参保人员的居住地址、联系电话等信息变更时，参保人员可通过“我的宁夏”手机A</w:t>
      </w:r>
      <w:r>
        <w:rPr>
          <w:rFonts w:ascii="仿宋_GB2312" w:hAnsi="仿宋_GB2312" w:eastAsia="仿宋_GB2312" w:cs="仿宋_GB2312"/>
          <w:color w:val="000000"/>
          <w:sz w:val="32"/>
          <w:szCs w:val="32"/>
        </w:rPr>
        <w:t>PP</w:t>
      </w:r>
      <w:r>
        <w:rPr>
          <w:rFonts w:hint="eastAsia" w:ascii="仿宋_GB2312" w:hAnsi="仿宋_GB2312" w:eastAsia="仿宋_GB2312" w:cs="仿宋_GB2312"/>
          <w:color w:val="000000"/>
          <w:sz w:val="32"/>
          <w:szCs w:val="32"/>
        </w:rPr>
        <w:t>自行办理变更。由用人单位代为办理的，需由用人单位出具加盖单位公章的情况说明到经办机构办理。</w:t>
      </w:r>
    </w:p>
    <w:p>
      <w:pPr>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第四节</w:t>
      </w:r>
      <w:r>
        <w:rPr>
          <w:rFonts w:ascii="宋体" w:hAnsi="宋体" w:eastAsia="宋体" w:cs="宋体"/>
          <w:color w:val="000000"/>
          <w:szCs w:val="32"/>
        </w:rPr>
        <w:t xml:space="preserve"> </w:t>
      </w:r>
      <w:r>
        <w:rPr>
          <w:rFonts w:hint="eastAsia" w:ascii="宋体" w:hAnsi="宋体" w:eastAsia="宋体" w:cs="宋体"/>
          <w:color w:val="000000"/>
          <w:szCs w:val="32"/>
        </w:rPr>
        <w:t>注销登记</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第二十八条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参保单位因注销、宣告破产、经上级主管部门批准解散、撤销、合并、分立、成建制转移等原因依法终止，无欠缴社会保险费且完成人员清理的，应自依法终止之日起30个工作日内向经办机构申请办理社会保险注销登记。</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第二十九条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企业在办理注销社会保险登记前，应当清缴社会保险欠费。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办机构能够通过注册登记部门数据平台或官方网站获取参保单位注销信息的，对没有社保欠费的企业同步进行社保登记注销。对不能获取注销信息的，用人单位需填写《宁夏回族自治区社会保险注销登记表》（附件3），并提供以下资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（一）相关部门的注销通知或人民法院判决单位破产等法律文书；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（二）用人单位主管部门或相关部门批准解散、撤销、终止或分立、合并、转让、改制的相关文件。</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第三十</w:t>
      </w:r>
      <w:r>
        <w:rPr>
          <w:rFonts w:ascii="黑体" w:hAnsi="黑体" w:eastAsia="黑体" w:cs="黑体"/>
          <w:color w:val="000000"/>
          <w:sz w:val="32"/>
          <w:szCs w:val="32"/>
        </w:rPr>
        <w:t>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参保单位因</w:t>
      </w:r>
      <w:r>
        <w:rPr>
          <w:rFonts w:hint="eastAsia" w:ascii="仿宋_GB2312" w:eastAsia="仿宋_GB2312"/>
          <w:color w:val="000000"/>
          <w:sz w:val="32"/>
          <w:szCs w:val="32"/>
        </w:rPr>
        <w:t>关闭、破产、改制</w:t>
      </w:r>
      <w:r>
        <w:rPr>
          <w:rFonts w:hint="eastAsia" w:ascii="仿宋_GB2312" w:hAnsi="仿宋_GB2312" w:eastAsia="仿宋_GB2312" w:cs="仿宋_GB2312"/>
          <w:color w:val="000000"/>
          <w:sz w:val="32"/>
          <w:szCs w:val="32"/>
        </w:rPr>
        <w:t>办理注销登记的，在破产清算时应依法为工伤职工一次性结清工伤保险待遇或按照政策规定，</w:t>
      </w:r>
      <w:r>
        <w:rPr>
          <w:rFonts w:hint="eastAsia" w:ascii="仿宋_GB2312" w:eastAsia="仿宋_GB2312"/>
          <w:color w:val="000000"/>
          <w:sz w:val="32"/>
          <w:szCs w:val="32"/>
        </w:rPr>
        <w:t>一次性足额趸缴费用后将其工伤职工纳入工伤保险统筹管理。</w:t>
      </w:r>
      <w:bookmarkStart w:id="2" w:name="_Toc89785119"/>
    </w:p>
    <w:p>
      <w:pPr>
        <w:spacing w:line="560" w:lineRule="exact"/>
        <w:ind w:firstLine="643" w:firstLineChars="200"/>
        <w:rPr>
          <w:b/>
          <w:color w:val="000000"/>
          <w:kern w:val="44"/>
          <w:sz w:val="32"/>
          <w:szCs w:val="32"/>
        </w:rPr>
      </w:pPr>
    </w:p>
    <w:p>
      <w:pPr>
        <w:pStyle w:val="2"/>
        <w:spacing w:before="0" w:after="0" w:line="560" w:lineRule="exact"/>
        <w:jc w:val="center"/>
        <w:rPr>
          <w:rFonts w:ascii="黑体" w:hAnsi="黑体" w:eastAsia="黑体" w:cs="黑体"/>
          <w:b w:val="0"/>
          <w:color w:val="000000"/>
          <w:sz w:val="32"/>
          <w:szCs w:val="32"/>
        </w:rPr>
      </w:pPr>
      <w:r>
        <w:rPr>
          <w:rFonts w:hint="eastAsia" w:ascii="黑体" w:hAnsi="黑体" w:eastAsia="黑体" w:cs="黑体"/>
          <w:b w:val="0"/>
          <w:color w:val="000000"/>
          <w:sz w:val="32"/>
          <w:szCs w:val="32"/>
        </w:rPr>
        <w:t>第三章</w:t>
      </w:r>
      <w:r>
        <w:rPr>
          <w:rFonts w:ascii="黑体" w:hAnsi="黑体" w:eastAsia="黑体" w:cs="黑体"/>
          <w:b w:val="0"/>
          <w:color w:val="000000"/>
          <w:sz w:val="32"/>
          <w:szCs w:val="32"/>
        </w:rPr>
        <w:t xml:space="preserve"> </w:t>
      </w:r>
      <w:r>
        <w:rPr>
          <w:rFonts w:hint="eastAsia" w:ascii="黑体" w:hAnsi="黑体" w:eastAsia="黑体" w:cs="黑体"/>
          <w:b w:val="0"/>
          <w:color w:val="000000"/>
          <w:sz w:val="32"/>
          <w:szCs w:val="32"/>
        </w:rPr>
        <w:t>工伤保险费</w:t>
      </w:r>
      <w:bookmarkEnd w:id="2"/>
      <w:r>
        <w:rPr>
          <w:rFonts w:hint="eastAsia" w:ascii="黑体" w:hAnsi="黑体" w:eastAsia="黑体" w:cs="黑体"/>
          <w:b w:val="0"/>
          <w:color w:val="000000"/>
          <w:sz w:val="32"/>
          <w:szCs w:val="32"/>
        </w:rPr>
        <w:t>申报缴纳管理</w:t>
      </w:r>
    </w:p>
    <w:p>
      <w:pPr>
        <w:spacing w:line="560" w:lineRule="exact"/>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工伤保险费申报缴纳</w:t>
      </w:r>
      <w:r>
        <w:rPr>
          <w:rFonts w:ascii="仿宋_GB2312" w:hAnsi="仿宋_GB2312" w:eastAsia="仿宋_GB2312" w:cs="仿宋_GB2312"/>
          <w:color w:val="000000"/>
          <w:sz w:val="32"/>
          <w:szCs w:val="32"/>
        </w:rPr>
        <w:t>管理</w:t>
      </w:r>
      <w:r>
        <w:rPr>
          <w:rFonts w:hint="eastAsia" w:ascii="仿宋_GB2312" w:hAnsi="仿宋_GB2312" w:eastAsia="仿宋_GB2312" w:cs="仿宋_GB2312"/>
          <w:color w:val="000000"/>
          <w:sz w:val="32"/>
          <w:szCs w:val="32"/>
        </w:rPr>
        <w:t>包括费率管理</w:t>
      </w:r>
      <w:r>
        <w:rPr>
          <w:rFonts w:ascii="仿宋_GB2312" w:hAnsi="仿宋_GB2312" w:eastAsia="仿宋_GB2312" w:cs="仿宋_GB2312"/>
          <w:color w:val="000000"/>
          <w:sz w:val="32"/>
          <w:szCs w:val="32"/>
        </w:rPr>
        <w:t>、申报缴纳管理</w:t>
      </w:r>
      <w:r>
        <w:rPr>
          <w:rFonts w:hint="eastAsia" w:ascii="仿宋_GB2312" w:hAnsi="仿宋_GB2312" w:eastAsia="仿宋_GB2312" w:cs="仿宋_GB2312"/>
          <w:color w:val="000000"/>
          <w:sz w:val="32"/>
          <w:szCs w:val="32"/>
        </w:rPr>
        <w:t>、退费管理</w:t>
      </w:r>
      <w:r>
        <w:rPr>
          <w:rFonts w:ascii="仿宋_GB2312" w:hAnsi="仿宋_GB2312" w:eastAsia="仿宋_GB2312" w:cs="仿宋_GB2312"/>
          <w:color w:val="000000"/>
          <w:sz w:val="32"/>
          <w:szCs w:val="32"/>
        </w:rPr>
        <w:t>等</w:t>
      </w:r>
      <w:r>
        <w:rPr>
          <w:rFonts w:hint="eastAsia" w:ascii="仿宋_GB2312" w:hAnsi="仿宋_GB2312" w:eastAsia="仿宋_GB2312" w:cs="仿宋_GB2312"/>
          <w:color w:val="000000"/>
          <w:sz w:val="32"/>
          <w:szCs w:val="32"/>
        </w:rPr>
        <w:t>内容。</w:t>
      </w:r>
    </w:p>
    <w:p>
      <w:pPr>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宋体" w:hAnsi="宋体" w:eastAsia="宋体" w:cs="仿宋_GB2312"/>
          <w:color w:val="000000"/>
          <w:szCs w:val="32"/>
        </w:rPr>
      </w:pPr>
      <w:r>
        <w:rPr>
          <w:rFonts w:hint="eastAsia" w:ascii="宋体" w:hAnsi="宋体" w:eastAsia="宋体" w:cs="仿宋_GB2312"/>
          <w:color w:val="000000"/>
          <w:szCs w:val="32"/>
        </w:rPr>
        <w:t>第一节 费率管理</w:t>
      </w:r>
    </w:p>
    <w:p>
      <w:pPr>
        <w:spacing w:line="560" w:lineRule="exact"/>
      </w:pPr>
    </w:p>
    <w:p>
      <w:pPr>
        <w:widowControl/>
        <w:spacing w:line="560" w:lineRule="exact"/>
        <w:ind w:firstLine="645"/>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第三十一条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经办机构根据用人单位登记信息中行业类型确定工伤保险行业风险类别和基准费率。</w:t>
      </w:r>
      <w:r>
        <w:rPr>
          <w:rFonts w:hint="eastAsia" w:ascii="仿宋_GB2312" w:hAnsi="微软雅黑" w:eastAsia="仿宋_GB2312" w:cs="宋体"/>
          <w:color w:val="000000"/>
          <w:kern w:val="0"/>
          <w:sz w:val="32"/>
          <w:szCs w:val="32"/>
        </w:rPr>
        <w:t>用人单位跨行业经营的，按照较高风险行业确定费率。</w:t>
      </w:r>
      <w:r>
        <w:rPr>
          <w:rFonts w:hint="eastAsia" w:ascii="仿宋_GB2312" w:hAnsi="仿宋_GB2312" w:eastAsia="仿宋_GB2312" w:cs="仿宋_GB2312"/>
          <w:color w:val="000000"/>
          <w:sz w:val="32"/>
          <w:szCs w:val="32"/>
        </w:rPr>
        <w:t>经办机构应对参保单位费率适用情况进行核查。</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第三十二条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工伤保险浮动费率每两年浮动一次。</w:t>
      </w:r>
      <w:r>
        <w:rPr>
          <w:rFonts w:hint="eastAsia" w:ascii="仿宋_GB2312" w:eastAsia="仿宋_GB2312"/>
          <w:color w:val="000000"/>
          <w:sz w:val="32"/>
          <w:szCs w:val="32"/>
        </w:rPr>
        <w:t>工伤保险费率浮动核准事项</w:t>
      </w:r>
      <w:r>
        <w:rPr>
          <w:rFonts w:hint="eastAsia" w:ascii="仿宋_GB2312" w:hAnsi="仿宋_GB2312" w:eastAsia="仿宋_GB2312" w:cs="仿宋_GB2312"/>
          <w:color w:val="000000"/>
          <w:sz w:val="32"/>
          <w:szCs w:val="32"/>
        </w:rPr>
        <w:t>由各市、县（区）经办机构根据</w:t>
      </w:r>
      <w:r>
        <w:rPr>
          <w:rFonts w:hint="eastAsia" w:ascii="仿宋_GB2312" w:hAnsi="微软雅黑" w:eastAsia="仿宋_GB2312" w:cs="宋体"/>
          <w:color w:val="000000"/>
          <w:kern w:val="0"/>
          <w:sz w:val="32"/>
          <w:szCs w:val="32"/>
        </w:rPr>
        <w:t>《宁夏回族自治区工伤保险费率浮动管理办法（修订）》</w:t>
      </w:r>
      <w:r>
        <w:rPr>
          <w:rFonts w:hint="eastAsia" w:ascii="仿宋_GB2312" w:hAnsi="仿宋_GB2312" w:eastAsia="仿宋_GB2312" w:cs="仿宋_GB2312"/>
          <w:color w:val="000000"/>
          <w:sz w:val="32"/>
          <w:szCs w:val="32"/>
        </w:rPr>
        <w:t>，在参保单位基准费率的基础上，</w:t>
      </w:r>
      <w:r>
        <w:rPr>
          <w:rFonts w:hint="eastAsia" w:ascii="仿宋_GB2312" w:hAnsi="微软雅黑" w:eastAsia="仿宋_GB2312" w:cs="宋体"/>
          <w:color w:val="000000"/>
          <w:kern w:val="0"/>
          <w:sz w:val="32"/>
          <w:szCs w:val="32"/>
        </w:rPr>
        <w:t>根据其上一周期工伤保险支缴率，核定其在下一浮动周期内应当适用的工伤保险费率。</w:t>
      </w:r>
      <w:r>
        <w:rPr>
          <w:rFonts w:hint="eastAsia" w:ascii="仿宋_GB2312" w:hAnsi="仿宋_GB2312" w:eastAsia="仿宋_GB2312" w:cs="仿宋_GB2312"/>
          <w:color w:val="000000"/>
          <w:sz w:val="32"/>
          <w:szCs w:val="32"/>
        </w:rPr>
        <w:t>并在</w:t>
      </w:r>
      <w:r>
        <w:rPr>
          <w:rFonts w:ascii="仿宋_GB2312" w:hAnsi="仿宋_GB2312" w:eastAsia="仿宋_GB2312" w:cs="仿宋_GB2312"/>
          <w:color w:val="000000"/>
          <w:sz w:val="32"/>
          <w:szCs w:val="32"/>
        </w:rPr>
        <w:t>费率调整</w:t>
      </w:r>
      <w:r>
        <w:rPr>
          <w:rFonts w:hint="eastAsia" w:ascii="仿宋_GB2312" w:hAnsi="仿宋_GB2312" w:eastAsia="仿宋_GB2312" w:cs="仿宋_GB2312"/>
          <w:color w:val="000000"/>
          <w:sz w:val="32"/>
          <w:szCs w:val="32"/>
        </w:rPr>
        <w:t>前</w:t>
      </w:r>
      <w:r>
        <w:rPr>
          <w:rFonts w:ascii="仿宋_GB2312" w:hAnsi="仿宋_GB2312" w:eastAsia="仿宋_GB2312" w:cs="仿宋_GB2312"/>
          <w:color w:val="000000"/>
          <w:sz w:val="32"/>
          <w:szCs w:val="32"/>
        </w:rPr>
        <w:t>将</w:t>
      </w:r>
      <w:r>
        <w:rPr>
          <w:rFonts w:hint="eastAsia" w:ascii="仿宋_GB2312" w:eastAsia="仿宋_GB2312"/>
          <w:color w:val="000000"/>
          <w:sz w:val="32"/>
          <w:szCs w:val="32"/>
        </w:rPr>
        <w:t>费率浮动</w:t>
      </w:r>
      <w:r>
        <w:rPr>
          <w:rFonts w:hint="eastAsia" w:ascii="仿宋_GB2312" w:hAnsi="仿宋_GB2312" w:eastAsia="仿宋_GB2312" w:cs="仿宋_GB2312"/>
          <w:color w:val="000000"/>
          <w:sz w:val="32"/>
          <w:szCs w:val="32"/>
        </w:rPr>
        <w:t>核准情况通过公共服务系统告知参保单位。</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告知内容包括：用人单位一个浮动周期内工伤保险基金使用情况、所属浮动费率档次、本年度缴费费率以及申诉的部门和时限等信息。</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第三十三条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用人单位对费率浮动结果有异议的，在收到告知后</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个工作日内，向</w:t>
      </w:r>
      <w:r>
        <w:rPr>
          <w:rFonts w:ascii="仿宋_GB2312" w:hAnsi="仿宋_GB2312" w:eastAsia="仿宋_GB2312" w:cs="仿宋_GB2312"/>
          <w:color w:val="000000"/>
          <w:sz w:val="32"/>
          <w:szCs w:val="32"/>
        </w:rPr>
        <w:t>经办机构提出</w:t>
      </w:r>
      <w:r>
        <w:rPr>
          <w:rFonts w:hint="eastAsia" w:ascii="仿宋_GB2312" w:hAnsi="仿宋_GB2312" w:eastAsia="仿宋_GB2312" w:cs="仿宋_GB2312"/>
          <w:color w:val="000000"/>
          <w:sz w:val="32"/>
          <w:szCs w:val="32"/>
        </w:rPr>
        <w:t>重新核定工伤保险费率的申请，并提供相关材料。经办机构应自收到用人单位申请之日起</w:t>
      </w: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个工作日内重新核定，并将重新核定结果和依据告知用人单位。</w:t>
      </w:r>
    </w:p>
    <w:p>
      <w:pPr>
        <w:widowControl/>
        <w:spacing w:line="560" w:lineRule="exact"/>
        <w:ind w:firstLine="787"/>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参保单位于</w:t>
      </w:r>
      <w:r>
        <w:rPr>
          <w:rFonts w:hint="eastAsia" w:ascii="仿宋_GB2312" w:hAnsi="仿宋_GB2312" w:eastAsia="仿宋_GB2312" w:cs="仿宋_GB2312"/>
          <w:color w:val="000000"/>
          <w:sz w:val="32"/>
          <w:szCs w:val="32"/>
        </w:rPr>
        <w:t>新一周期</w:t>
      </w:r>
      <w:r>
        <w:rPr>
          <w:rFonts w:ascii="仿宋_GB2312" w:hAnsi="仿宋_GB2312" w:eastAsia="仿宋_GB2312" w:cs="仿宋_GB2312"/>
          <w:color w:val="000000"/>
          <w:sz w:val="32"/>
          <w:szCs w:val="32"/>
        </w:rPr>
        <w:t>费率浮动工作</w:t>
      </w:r>
      <w:r>
        <w:rPr>
          <w:rFonts w:hint="eastAsia" w:ascii="仿宋_GB2312" w:hAnsi="仿宋_GB2312" w:eastAsia="仿宋_GB2312" w:cs="仿宋_GB2312"/>
          <w:color w:val="000000"/>
          <w:sz w:val="32"/>
          <w:szCs w:val="32"/>
        </w:rPr>
        <w:t>开始</w:t>
      </w:r>
      <w:r>
        <w:rPr>
          <w:rFonts w:ascii="仿宋_GB2312" w:hAnsi="仿宋_GB2312" w:eastAsia="仿宋_GB2312" w:cs="仿宋_GB2312"/>
          <w:color w:val="000000"/>
          <w:sz w:val="32"/>
          <w:szCs w:val="32"/>
        </w:rPr>
        <w:t>前按原费率申报每月工伤保险费，在</w:t>
      </w:r>
      <w:r>
        <w:rPr>
          <w:rFonts w:hint="eastAsia" w:ascii="仿宋_GB2312" w:hAnsi="仿宋_GB2312" w:eastAsia="仿宋_GB2312" w:cs="仿宋_GB2312"/>
          <w:color w:val="000000"/>
          <w:sz w:val="32"/>
          <w:szCs w:val="32"/>
        </w:rPr>
        <w:t>新一周期</w:t>
      </w:r>
      <w:r>
        <w:rPr>
          <w:rFonts w:ascii="仿宋_GB2312" w:hAnsi="仿宋_GB2312" w:eastAsia="仿宋_GB2312" w:cs="仿宋_GB2312"/>
          <w:color w:val="000000"/>
          <w:sz w:val="32"/>
          <w:szCs w:val="32"/>
        </w:rPr>
        <w:t>费率浮动工作</w:t>
      </w:r>
      <w:r>
        <w:rPr>
          <w:rFonts w:hint="eastAsia" w:ascii="仿宋_GB2312" w:hAnsi="仿宋_GB2312" w:eastAsia="仿宋_GB2312" w:cs="仿宋_GB2312"/>
          <w:color w:val="000000"/>
          <w:sz w:val="32"/>
          <w:szCs w:val="32"/>
        </w:rPr>
        <w:t>开始</w:t>
      </w:r>
      <w:r>
        <w:rPr>
          <w:rFonts w:ascii="仿宋_GB2312" w:hAnsi="仿宋_GB2312" w:eastAsia="仿宋_GB2312" w:cs="仿宋_GB2312"/>
          <w:color w:val="000000"/>
          <w:sz w:val="32"/>
          <w:szCs w:val="32"/>
        </w:rPr>
        <w:t>后，改</w:t>
      </w:r>
      <w:r>
        <w:rPr>
          <w:rFonts w:hint="eastAsia" w:ascii="仿宋_GB2312" w:hAnsi="仿宋_GB2312" w:eastAsia="仿宋_GB2312" w:cs="仿宋_GB2312"/>
          <w:color w:val="000000"/>
          <w:sz w:val="32"/>
          <w:szCs w:val="32"/>
        </w:rPr>
        <w:t>为</w:t>
      </w:r>
      <w:r>
        <w:rPr>
          <w:rFonts w:ascii="仿宋_GB2312" w:hAnsi="仿宋_GB2312" w:eastAsia="仿宋_GB2312" w:cs="仿宋_GB2312"/>
          <w:color w:val="000000"/>
          <w:sz w:val="32"/>
          <w:szCs w:val="32"/>
        </w:rPr>
        <w:t>按浮动调整后的费率执行。参保单位费率浮动执行期间，所处风险行业</w:t>
      </w:r>
      <w:r>
        <w:rPr>
          <w:rFonts w:hint="eastAsia" w:ascii="仿宋_GB2312" w:hAnsi="仿宋_GB2312" w:eastAsia="仿宋_GB2312" w:cs="仿宋_GB2312"/>
          <w:color w:val="000000"/>
          <w:sz w:val="32"/>
          <w:szCs w:val="32"/>
        </w:rPr>
        <w:t>类别</w:t>
      </w:r>
      <w:r>
        <w:rPr>
          <w:rFonts w:ascii="仿宋_GB2312" w:hAnsi="仿宋_GB2312" w:eastAsia="仿宋_GB2312" w:cs="仿宋_GB2312"/>
          <w:color w:val="000000"/>
          <w:sz w:val="32"/>
          <w:szCs w:val="32"/>
        </w:rPr>
        <w:t>发生变更的，</w:t>
      </w:r>
      <w:r>
        <w:rPr>
          <w:rFonts w:hint="eastAsia" w:ascii="仿宋_GB2312" w:hAnsi="仿宋_GB2312" w:eastAsia="仿宋_GB2312" w:cs="仿宋_GB2312"/>
          <w:color w:val="000000"/>
          <w:sz w:val="32"/>
          <w:szCs w:val="32"/>
        </w:rPr>
        <w:t>基准费率部分按照新的标准执行，浮动费率部分按照原标准执行</w:t>
      </w:r>
      <w:r>
        <w:rPr>
          <w:rFonts w:ascii="仿宋_GB2312" w:hAnsi="仿宋_GB2312" w:eastAsia="仿宋_GB2312" w:cs="仿宋_GB2312"/>
          <w:color w:val="000000"/>
          <w:sz w:val="32"/>
          <w:szCs w:val="32"/>
        </w:rPr>
        <w:t>。</w:t>
      </w:r>
    </w:p>
    <w:p>
      <w:pPr>
        <w:widowControl/>
        <w:spacing w:line="560" w:lineRule="exact"/>
        <w:ind w:firstLine="787"/>
        <w:rPr>
          <w:rFonts w:ascii="仿宋_GB2312" w:hAnsi="宋体" w:eastAsia="仿宋_GB2312" w:cs="宋体"/>
          <w:color w:val="000000"/>
          <w:kern w:val="0"/>
          <w:sz w:val="32"/>
          <w:szCs w:val="32"/>
        </w:rPr>
      </w:pPr>
      <w:r>
        <w:rPr>
          <w:rFonts w:hint="eastAsia" w:ascii="黑体" w:hAnsi="黑体" w:eastAsia="黑体" w:cs="黑体"/>
          <w:color w:val="000000"/>
          <w:sz w:val="32"/>
          <w:szCs w:val="32"/>
        </w:rPr>
        <w:t>第三十四条</w:t>
      </w:r>
      <w:r>
        <w:rPr>
          <w:rFonts w:ascii="黑体" w:hAnsi="黑体" w:eastAsia="黑体" w:cs="黑体"/>
          <w:color w:val="000000"/>
          <w:sz w:val="32"/>
          <w:szCs w:val="32"/>
        </w:rPr>
        <w:t xml:space="preserve"> </w:t>
      </w:r>
      <w:r>
        <w:rPr>
          <w:rFonts w:hint="eastAsia" w:ascii="仿宋_GB2312" w:hAnsi="宋体" w:eastAsia="仿宋_GB2312"/>
          <w:color w:val="000000"/>
          <w:sz w:val="32"/>
          <w:szCs w:val="32"/>
        </w:rPr>
        <w:t>我区实施“单位参保+项目参保综合浮动费率机制”，</w:t>
      </w:r>
      <w:r>
        <w:rPr>
          <w:rFonts w:hint="eastAsia" w:ascii="仿宋_GB2312" w:hAnsi="宋体" w:eastAsia="仿宋_GB2312" w:cs="宋体"/>
          <w:color w:val="000000"/>
          <w:kern w:val="0"/>
          <w:sz w:val="32"/>
          <w:szCs w:val="32"/>
        </w:rPr>
        <w:t>即</w:t>
      </w:r>
      <w:r>
        <w:rPr>
          <w:rFonts w:hint="eastAsia" w:ascii="仿宋_GB2312" w:hAnsi="宋体" w:eastAsia="仿宋_GB2312"/>
          <w:color w:val="000000"/>
          <w:sz w:val="32"/>
          <w:szCs w:val="32"/>
        </w:rPr>
        <w:t>用人单位费率浮动标准和</w:t>
      </w:r>
      <w:r>
        <w:rPr>
          <w:rFonts w:hint="eastAsia" w:ascii="仿宋_GB2312" w:hAnsi="宋体" w:eastAsia="仿宋_GB2312" w:cs="宋体"/>
          <w:color w:val="000000"/>
          <w:kern w:val="0"/>
          <w:sz w:val="32"/>
          <w:szCs w:val="32"/>
        </w:rPr>
        <w:t>工伤保险综合支缴率挂钩。在一个浮动周期内，</w:t>
      </w:r>
      <w:r>
        <w:rPr>
          <w:rFonts w:hint="eastAsia" w:ascii="仿宋_GB2312" w:hAnsi="仿宋_GB2312" w:eastAsia="仿宋_GB2312" w:cs="仿宋_GB2312"/>
          <w:color w:val="000000"/>
          <w:sz w:val="32"/>
          <w:szCs w:val="32"/>
        </w:rPr>
        <w:t>工伤保险支缴率等于</w:t>
      </w:r>
      <w:r>
        <w:rPr>
          <w:rFonts w:hint="eastAsia" w:ascii="仿宋_GB2312" w:hAnsi="宋体" w:eastAsia="仿宋_GB2312" w:cs="宋体"/>
          <w:color w:val="000000"/>
          <w:kern w:val="0"/>
          <w:sz w:val="32"/>
          <w:szCs w:val="32"/>
        </w:rPr>
        <w:t>工伤保险基金支付用人单位工伤职工及工亡职工供养亲属的</w:t>
      </w:r>
      <w:r>
        <w:rPr>
          <w:rFonts w:hint="eastAsia" w:ascii="仿宋_GB2312" w:hAnsi="宋体" w:eastAsia="仿宋_GB2312"/>
          <w:color w:val="000000"/>
          <w:sz w:val="32"/>
          <w:szCs w:val="32"/>
        </w:rPr>
        <w:t>单位参保+项目参保</w:t>
      </w:r>
      <w:r>
        <w:rPr>
          <w:rFonts w:hint="eastAsia" w:ascii="仿宋_GB2312" w:hAnsi="宋体" w:eastAsia="仿宋_GB2312" w:cs="宋体"/>
          <w:color w:val="000000"/>
          <w:kern w:val="0"/>
          <w:sz w:val="32"/>
          <w:szCs w:val="32"/>
        </w:rPr>
        <w:t>工伤保险待遇金额，与该用人单位缴纳的</w:t>
      </w:r>
      <w:r>
        <w:rPr>
          <w:rFonts w:hint="eastAsia" w:ascii="仿宋_GB2312" w:hAnsi="宋体" w:eastAsia="仿宋_GB2312"/>
          <w:color w:val="000000"/>
          <w:sz w:val="32"/>
          <w:szCs w:val="32"/>
        </w:rPr>
        <w:t>单位参保+项目参保</w:t>
      </w:r>
      <w:r>
        <w:rPr>
          <w:rFonts w:hint="eastAsia" w:ascii="仿宋_GB2312" w:hAnsi="宋体" w:eastAsia="仿宋_GB2312" w:cs="宋体"/>
          <w:color w:val="000000"/>
          <w:kern w:val="0"/>
          <w:sz w:val="32"/>
          <w:szCs w:val="32"/>
        </w:rPr>
        <w:t>工伤保险费的比。计算公式为：</w:t>
      </w:r>
      <w:r>
        <w:rPr>
          <w:rFonts w:hint="eastAsia" w:ascii="仿宋_GB2312" w:hAnsi="仿宋_GB2312" w:eastAsia="仿宋_GB2312" w:cs="仿宋_GB2312"/>
          <w:color w:val="000000"/>
          <w:sz w:val="32"/>
          <w:szCs w:val="32"/>
        </w:rPr>
        <w:t>工伤保险支缴率=（本浮动周期内单位参保+项目参保工伤保险基金支付用人单位的工伤保险待遇金额）÷（本浮动周期内用人单位缴纳的单位参保+项目参保工伤保险费金额）</w:t>
      </w:r>
      <w:r>
        <w:rPr>
          <w:rFonts w:hint="eastAsia" w:ascii="仿宋_GB2312" w:hAnsi="宋体" w:eastAsia="仿宋_GB2312" w:cs="宋体"/>
          <w:color w:val="000000"/>
          <w:kern w:val="0"/>
          <w:sz w:val="32"/>
          <w:szCs w:val="32"/>
        </w:rPr>
        <w:t>×100%。浮动费率比例适用于该用人单位按单位参保和按项目参保两种参保方式，具体数值为浮动费率比例分别乘以其按单位参保基准费率和按项目参保基准费率。</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第三十五条</w:t>
      </w:r>
      <w:r>
        <w:rPr>
          <w:rFonts w:hint="eastAsia" w:ascii="仿宋_GB2312" w:hAnsi="仿宋_GB2312" w:eastAsia="仿宋_GB2312" w:cs="仿宋_GB2312"/>
          <w:color w:val="000000"/>
          <w:sz w:val="32"/>
          <w:szCs w:val="32"/>
        </w:rPr>
        <w:t xml:space="preserve"> 安全生产标准化达标的工贸、矿山行业企业，持达标证书和公告，按企业达标等级享受工伤保险费率下浮优惠政策，被原审核单位公告撤销其安全生产标准化企业等级的，不再享受费率下浮优惠政策。安全生产标准化达标企业工伤保险费率下浮优惠政策不与浮动费率计算结果叠加应用，浮动费率结果为上浮的，不再享受费率下浮优惠政策，浮动费率结果为下浮的，适用较高比例的下浮标准。</w:t>
      </w:r>
    </w:p>
    <w:p>
      <w:pPr>
        <w:widowControl/>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第三十六条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经办机构在重新核定费率后，应当及时将上一浮动周期的用人单位工伤保险支缴率情况和下一浮动周期浮动费率标准进行公示，并通过线上或线下形式向用人单位和工伤保险费征缴机构通报。</w:t>
      </w:r>
    </w:p>
    <w:p>
      <w:pPr>
        <w:widowControl/>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宋体" w:hAnsi="宋体" w:eastAsia="宋体" w:cs="仿宋_GB2312"/>
          <w:color w:val="000000"/>
          <w:szCs w:val="32"/>
        </w:rPr>
      </w:pPr>
      <w:r>
        <w:rPr>
          <w:rFonts w:hint="eastAsia" w:ascii="宋体" w:hAnsi="宋体" w:eastAsia="宋体" w:cs="仿宋_GB2312"/>
          <w:color w:val="000000"/>
          <w:szCs w:val="32"/>
        </w:rPr>
        <w:t>第二节 申报缴纳</w:t>
      </w:r>
      <w:r>
        <w:rPr>
          <w:rFonts w:ascii="宋体" w:hAnsi="宋体" w:eastAsia="宋体" w:cs="仿宋_GB2312"/>
          <w:color w:val="000000"/>
          <w:szCs w:val="32"/>
        </w:rPr>
        <w:t>管理</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第三十七条</w:t>
      </w:r>
      <w:r>
        <w:rPr>
          <w:rFonts w:hint="eastAsia" w:ascii="仿宋_GB2312" w:hAnsi="仿宋_GB2312" w:eastAsia="仿宋_GB2312" w:cs="仿宋_GB2312"/>
          <w:color w:val="000000"/>
          <w:sz w:val="32"/>
          <w:szCs w:val="32"/>
        </w:rPr>
        <w:t xml:space="preserve"> 用人单位应当按时缴纳工伤保险费，职工个人不缴纳工伤保险费。用人单位缴纳工伤保险费的总额为缴费基数乘以单位缴费费率。</w:t>
      </w:r>
    </w:p>
    <w:p>
      <w:pPr>
        <w:spacing w:line="560" w:lineRule="exact"/>
        <w:ind w:firstLine="640" w:firstLineChars="200"/>
        <w:rPr>
          <w:rFonts w:ascii="仿宋_GB2312" w:hAnsi="仿宋_GB2312" w:eastAsia="仿宋_GB2312" w:cs="仿宋_GB2312"/>
          <w:b/>
          <w:color w:val="000000"/>
          <w:sz w:val="32"/>
          <w:szCs w:val="32"/>
          <w:u w:val="single"/>
        </w:rPr>
      </w:pPr>
      <w:r>
        <w:rPr>
          <w:rFonts w:hint="eastAsia" w:ascii="仿宋_GB2312" w:hAnsi="仿宋_GB2312" w:eastAsia="仿宋_GB2312" w:cs="仿宋_GB2312"/>
          <w:sz w:val="32"/>
          <w:szCs w:val="32"/>
        </w:rPr>
        <w:t>经办机构根据用人单位填报的参保人员工资，按照有关规定确定个人缴费工资。用人单位职工工资总额为全部参保人员个人缴费工资之和，作为其当期缴费基数。</w:t>
      </w:r>
      <w:r>
        <w:rPr>
          <w:rFonts w:ascii="仿宋_GB2312" w:eastAsia="仿宋_GB2312"/>
          <w:color w:val="000000"/>
          <w:sz w:val="32"/>
          <w:szCs w:val="32"/>
        </w:rPr>
        <w:t>缴费基数上下</w:t>
      </w:r>
      <w:r>
        <w:rPr>
          <w:rFonts w:hint="eastAsia" w:ascii="仿宋_GB2312" w:eastAsia="仿宋_GB2312"/>
          <w:color w:val="000000"/>
          <w:sz w:val="32"/>
          <w:szCs w:val="32"/>
        </w:rPr>
        <w:t>限</w:t>
      </w:r>
      <w:r>
        <w:rPr>
          <w:rFonts w:ascii="仿宋_GB2312" w:eastAsia="仿宋_GB2312"/>
          <w:color w:val="000000"/>
          <w:sz w:val="32"/>
          <w:szCs w:val="32"/>
        </w:rPr>
        <w:t>按照每年自治区社会保险缴费基数</w:t>
      </w:r>
      <w:r>
        <w:rPr>
          <w:rFonts w:hint="eastAsia" w:ascii="仿宋_GB2312" w:eastAsia="仿宋_GB2312"/>
          <w:color w:val="000000"/>
          <w:sz w:val="32"/>
          <w:szCs w:val="32"/>
        </w:rPr>
        <w:t>有关</w:t>
      </w:r>
      <w:r>
        <w:rPr>
          <w:rFonts w:ascii="仿宋_GB2312" w:eastAsia="仿宋_GB2312"/>
          <w:color w:val="000000"/>
          <w:sz w:val="32"/>
          <w:szCs w:val="32"/>
        </w:rPr>
        <w:t>政策规定执行。</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参保职工被认定为因工死亡，用人单位在其死亡当月应为其申报缴纳工伤保险费，从其死亡的次月起停止缴纳工伤保险费。</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第三十八条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工程建设项目工伤保险由施工项目总承包单位或项目标段合同承建单位按照劳动雇佣关系一次性代缴本项目工伤保险费，覆盖项目使用的所有职工，包括专业承包单位、劳务分包单位使用的农民工。</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工程建设项目工伤保险缴费总额为建设安装工程费（或工程合同价）的20%乘以工程建设项目工伤保险的缴费费率。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工程项目追加工程造价的，经办机构应当予变更项目登记信息并按规定重新计算应缴纳的工伤保险费，补缴差额部分。</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第三十九条</w:t>
      </w:r>
      <w:r>
        <w:rPr>
          <w:rFonts w:hint="eastAsia" w:ascii="仿宋_GB2312" w:hAnsi="仿宋_GB2312" w:eastAsia="仿宋_GB2312" w:cs="仿宋_GB2312"/>
          <w:b/>
          <w:bCs/>
          <w:color w:val="000000"/>
          <w:sz w:val="32"/>
          <w:szCs w:val="32"/>
        </w:rPr>
        <w:t xml:space="preserve"> </w:t>
      </w:r>
      <w:r>
        <w:rPr>
          <w:rStyle w:val="54"/>
          <w:rFonts w:hint="default"/>
        </w:rPr>
        <w:t>工伤保险费的征缴实行按月申报制度，</w:t>
      </w:r>
      <w:r>
        <w:rPr>
          <w:rFonts w:hint="eastAsia" w:ascii="仿宋_GB2312" w:hAnsi="仿宋_GB2312" w:eastAsia="仿宋_GB2312" w:cs="仿宋_GB2312"/>
          <w:color w:val="000000"/>
          <w:sz w:val="32"/>
          <w:szCs w:val="32"/>
        </w:rPr>
        <w:t>用人单位在公共服务系统中按月核定单位工伤保险费，将工伤保险缴费征集单发送税务部门，并</w:t>
      </w:r>
      <w:r>
        <w:rPr>
          <w:rStyle w:val="54"/>
          <w:rFonts w:hint="default"/>
        </w:rPr>
        <w:t>应及时缴纳工伤保险费</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超过六个月未核定缴费的自欠缴之日起按日加收万分之五的滞纳金，并计入用人单位应缴总额。</w:t>
      </w:r>
    </w:p>
    <w:p>
      <w:pPr>
        <w:spacing w:line="560" w:lineRule="exact"/>
        <w:ind w:firstLine="640" w:firstLineChars="200"/>
        <w:rPr>
          <w:rFonts w:ascii="仿宋_GB2312" w:hAnsi="仿宋_GB2312" w:eastAsia="仿宋_GB2312" w:cs="仿宋_GB2312"/>
          <w:color w:val="000000"/>
          <w:sz w:val="32"/>
          <w:szCs w:val="32"/>
        </w:rPr>
      </w:pPr>
      <w:r>
        <w:rPr>
          <w:rStyle w:val="54"/>
          <w:rFonts w:hint="default"/>
        </w:rPr>
        <w:t>用人单位未按照规定申报应当缴纳的工伤保险费数额的，经办机构可按该单位上月缴费额确定应缴数额；没有上月缴费额的，经办机构可暂按该单位的经营状况、职工人数等有关情况确定应缴数额。</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第四十条</w:t>
      </w: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税务机关完成收款后，每月在规定时间内向经办机构推送实缴费款信息。经办机构依据税务机关推送的到账信息记录个人权益。</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优化调整社会保险费申报缴纳流程，涉及征收环节需要调整的，按照相关规定执行。</w:t>
      </w:r>
    </w:p>
    <w:p>
      <w:pPr>
        <w:spacing w:line="560" w:lineRule="exact"/>
        <w:ind w:firstLine="643" w:firstLineChars="200"/>
        <w:jc w:val="center"/>
        <w:rPr>
          <w:rFonts w:ascii="宋体" w:hAnsi="宋体" w:cs="仿宋_GB2312"/>
          <w:b/>
          <w:color w:val="000000"/>
          <w:sz w:val="32"/>
          <w:szCs w:val="32"/>
        </w:rPr>
      </w:pPr>
    </w:p>
    <w:p>
      <w:pPr>
        <w:spacing w:line="560" w:lineRule="exact"/>
        <w:ind w:firstLine="643" w:firstLineChars="200"/>
        <w:jc w:val="center"/>
        <w:rPr>
          <w:rFonts w:ascii="宋体" w:hAnsi="宋体" w:cs="仿宋_GB2312"/>
          <w:b/>
          <w:color w:val="000000"/>
          <w:sz w:val="32"/>
          <w:szCs w:val="32"/>
        </w:rPr>
      </w:pPr>
      <w:r>
        <w:rPr>
          <w:rFonts w:hint="eastAsia" w:ascii="宋体" w:hAnsi="宋体" w:cs="仿宋_GB2312"/>
          <w:b/>
          <w:color w:val="000000"/>
          <w:sz w:val="32"/>
          <w:szCs w:val="32"/>
        </w:rPr>
        <w:t xml:space="preserve">第三节 </w:t>
      </w:r>
      <w:r>
        <w:rPr>
          <w:rFonts w:ascii="宋体" w:hAnsi="宋体" w:cs="仿宋_GB2312"/>
          <w:b/>
          <w:color w:val="000000"/>
          <w:sz w:val="32"/>
          <w:szCs w:val="32"/>
        </w:rPr>
        <w:t xml:space="preserve"> </w:t>
      </w:r>
      <w:r>
        <w:rPr>
          <w:rFonts w:hint="eastAsia" w:ascii="宋体" w:hAnsi="宋体" w:cs="仿宋_GB2312"/>
          <w:b/>
          <w:color w:val="000000"/>
          <w:sz w:val="32"/>
          <w:szCs w:val="32"/>
        </w:rPr>
        <w:t>退费管理</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Style w:val="54"/>
          <w:rFonts w:hint="default"/>
        </w:rPr>
      </w:pPr>
      <w:r>
        <w:rPr>
          <w:rFonts w:hint="eastAsia" w:ascii="黑体" w:hAnsi="黑体" w:eastAsia="黑体" w:cs="黑体"/>
          <w:color w:val="000000"/>
          <w:sz w:val="32"/>
          <w:szCs w:val="32"/>
        </w:rPr>
        <w:t>第四十一条</w:t>
      </w:r>
      <w:r>
        <w:rPr>
          <w:rFonts w:hint="eastAsia" w:ascii="仿宋_GB2312" w:hAnsi="仿宋_GB2312" w:eastAsia="仿宋_GB2312" w:cs="仿宋_GB2312"/>
          <w:color w:val="000000"/>
          <w:sz w:val="32"/>
          <w:szCs w:val="32"/>
        </w:rPr>
        <w:t xml:space="preserve"> </w:t>
      </w:r>
      <w:r>
        <w:rPr>
          <w:rStyle w:val="54"/>
          <w:rFonts w:hint="default"/>
        </w:rPr>
        <w:t>工伤保险费退费采取税务部门受理审核，各地经办机构退还的方式。各地经办机构按月将已办理的退费信息传送给同级财政部门、税务部门及自治区社会保险事业管理局（以下简称自治区社保局），由自治区社保局汇总后，报送自治区财政厅。退费金额每季由各地经办机构在计划基金支出用款中合并申请。</w:t>
      </w:r>
    </w:p>
    <w:p>
      <w:pPr>
        <w:pStyle w:val="17"/>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kern w:val="2"/>
          <w:sz w:val="32"/>
          <w:szCs w:val="32"/>
        </w:rPr>
      </w:pPr>
      <w:r>
        <w:rPr>
          <w:rFonts w:hint="eastAsia" w:ascii="黑体" w:hAnsi="黑体" w:eastAsia="黑体" w:cs="黑体"/>
          <w:color w:val="000000"/>
          <w:kern w:val="2"/>
          <w:sz w:val="32"/>
          <w:szCs w:val="32"/>
        </w:rPr>
        <w:t>第四十二条</w:t>
      </w:r>
      <w:r>
        <w:rPr>
          <w:rFonts w:hint="eastAsia" w:ascii="仿宋_GB2312" w:hAnsi="仿宋_GB2312" w:eastAsia="仿宋_GB2312" w:cs="仿宋_GB2312"/>
          <w:color w:val="000000"/>
          <w:kern w:val="2"/>
          <w:sz w:val="32"/>
          <w:szCs w:val="32"/>
        </w:rPr>
        <w:t xml:space="preserve"> 建设项目在开工前取消的，或者建筑施工总承包单位失去承包资格，总承包单位以建设项目参保的，可以</w:t>
      </w:r>
      <w:r>
        <w:rPr>
          <w:rFonts w:hint="eastAsia" w:ascii="仿宋_GB2312" w:hAnsi="仿宋_GB2312" w:eastAsia="仿宋_GB2312" w:cs="仿宋_GB2312"/>
          <w:color w:val="000000"/>
          <w:sz w:val="32"/>
          <w:szCs w:val="32"/>
        </w:rPr>
        <w:t>向税务部门申请退费，</w:t>
      </w:r>
      <w:r>
        <w:rPr>
          <w:rFonts w:hint="eastAsia" w:ascii="仿宋_GB2312" w:hAnsi="仿宋_GB2312" w:eastAsia="仿宋_GB2312" w:cs="仿宋_GB2312"/>
          <w:color w:val="000000"/>
          <w:kern w:val="2"/>
          <w:sz w:val="32"/>
          <w:szCs w:val="32"/>
        </w:rPr>
        <w:t>办理参保的经办机构按照税务部门受理审核意见退还已缴纳的工伤保险费。总承包单位申请退还工伤保险费时，应当提供：</w:t>
      </w:r>
    </w:p>
    <w:p>
      <w:pPr>
        <w:pStyle w:val="17"/>
        <w:shd w:val="clear" w:color="auto" w:fill="FFFFFF"/>
        <w:spacing w:before="0" w:beforeAutospacing="0" w:after="0" w:afterAutospacing="0" w:line="560" w:lineRule="exact"/>
        <w:ind w:firstLine="482"/>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（一）总承包单位申请退费的说明；</w:t>
      </w:r>
    </w:p>
    <w:p>
      <w:pPr>
        <w:pStyle w:val="17"/>
        <w:shd w:val="clear" w:color="auto" w:fill="FFFFFF"/>
        <w:spacing w:before="0" w:beforeAutospacing="0" w:after="0" w:afterAutospacing="0" w:line="560" w:lineRule="exact"/>
        <w:ind w:firstLine="482"/>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（二）缴费发票原件及缴费核定单；</w:t>
      </w:r>
    </w:p>
    <w:p>
      <w:pPr>
        <w:pStyle w:val="17"/>
        <w:shd w:val="clear" w:color="auto" w:fill="FFFFFF"/>
        <w:spacing w:before="0" w:beforeAutospacing="0" w:after="0" w:afterAutospacing="0" w:line="560" w:lineRule="exact"/>
        <w:ind w:firstLine="482"/>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（三）发包单位的确认材料；</w:t>
      </w:r>
    </w:p>
    <w:p>
      <w:pPr>
        <w:pStyle w:val="17"/>
        <w:shd w:val="clear" w:color="auto" w:fill="FFFFFF"/>
        <w:spacing w:before="0" w:beforeAutospacing="0" w:after="0" w:afterAutospacing="0" w:line="560" w:lineRule="exact"/>
        <w:ind w:firstLine="482"/>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（四）通过住房城乡建设主管部门审核的项目，还应提供建设主管部门的确认材料;</w:t>
      </w:r>
    </w:p>
    <w:p>
      <w:pPr>
        <w:pStyle w:val="17"/>
        <w:shd w:val="clear" w:color="auto" w:fill="FFFFFF"/>
        <w:spacing w:before="0" w:beforeAutospacing="0" w:after="0" w:afterAutospacing="0" w:line="560" w:lineRule="exact"/>
        <w:ind w:firstLine="482"/>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（五）法律、行政法规规定的其他材料。</w:t>
      </w:r>
      <w:bookmarkStart w:id="3" w:name="_Toc89785128"/>
    </w:p>
    <w:p>
      <w:pPr>
        <w:pStyle w:val="17"/>
        <w:shd w:val="clear" w:color="auto" w:fill="FFFFFF"/>
        <w:spacing w:before="0" w:beforeAutospacing="0" w:after="0" w:afterAutospacing="0" w:line="560" w:lineRule="exact"/>
        <w:ind w:firstLine="482"/>
        <w:jc w:val="both"/>
        <w:rPr>
          <w:rFonts w:ascii="仿宋_GB2312" w:hAnsi="仿宋_GB2312" w:eastAsia="仿宋_GB2312" w:cs="仿宋_GB2312"/>
          <w:color w:val="000000"/>
          <w:kern w:val="2"/>
          <w:sz w:val="32"/>
          <w:szCs w:val="32"/>
        </w:rPr>
      </w:pPr>
    </w:p>
    <w:p>
      <w:pPr>
        <w:pStyle w:val="2"/>
        <w:spacing w:line="560" w:lineRule="exact"/>
        <w:jc w:val="center"/>
      </w:pPr>
      <w:bookmarkStart w:id="4" w:name="_Toc89785120"/>
      <w:bookmarkStart w:id="5" w:name="_Toc89785124"/>
      <w:r>
        <w:rPr>
          <w:rFonts w:hint="eastAsia" w:ascii="黑体" w:hAnsi="黑体" w:eastAsia="黑体" w:cs="黑体"/>
          <w:b w:val="0"/>
          <w:color w:val="000000"/>
          <w:sz w:val="32"/>
          <w:szCs w:val="32"/>
        </w:rPr>
        <w:t>第四章 工伤医疗、康复与辅助器具配置管理</w:t>
      </w:r>
    </w:p>
    <w:p>
      <w:pPr>
        <w:spacing w:line="560" w:lineRule="exact"/>
        <w:jc w:val="center"/>
        <w:rPr>
          <w:b/>
        </w:rPr>
      </w:pPr>
    </w:p>
    <w:bookmarkEnd w:id="4"/>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工伤医疗、康复与辅助器具配置管理包括协议管理、工伤医疗管理、工伤就医即时结算、工伤康复管理、辅助器具配置管理等内容。</w:t>
      </w:r>
    </w:p>
    <w:p>
      <w:pPr>
        <w:pStyle w:val="3"/>
        <w:spacing w:before="0" w:after="0" w:line="560" w:lineRule="exact"/>
        <w:jc w:val="center"/>
        <w:rPr>
          <w:rFonts w:ascii="宋体" w:hAnsi="宋体" w:eastAsia="宋体" w:cs="宋体"/>
          <w:color w:val="000000"/>
          <w:szCs w:val="32"/>
        </w:rPr>
      </w:pPr>
    </w:p>
    <w:p>
      <w:pPr>
        <w:pStyle w:val="3"/>
        <w:spacing w:before="0" w:after="0" w:line="560" w:lineRule="exact"/>
        <w:jc w:val="center"/>
        <w:rPr>
          <w:rFonts w:ascii="仿宋_GB2312" w:hAnsi="仿宋_GB2312" w:eastAsia="仿宋_GB2312" w:cs="仿宋_GB2312"/>
          <w:color w:val="000000"/>
          <w:szCs w:val="32"/>
        </w:rPr>
      </w:pPr>
      <w:r>
        <w:rPr>
          <w:rFonts w:hint="eastAsia" w:ascii="宋体" w:hAnsi="宋体" w:eastAsia="宋体" w:cs="宋体"/>
          <w:color w:val="000000"/>
          <w:szCs w:val="32"/>
        </w:rPr>
        <w:t>第一节</w:t>
      </w:r>
      <w:r>
        <w:rPr>
          <w:rFonts w:ascii="宋体" w:hAnsi="宋体" w:eastAsia="宋体" w:cs="宋体"/>
          <w:color w:val="000000"/>
          <w:szCs w:val="32"/>
        </w:rPr>
        <w:t xml:space="preserve">  </w:t>
      </w:r>
      <w:r>
        <w:rPr>
          <w:rFonts w:hint="eastAsia" w:ascii="宋体" w:hAnsi="宋体" w:eastAsia="宋体" w:cs="宋体"/>
          <w:color w:val="000000"/>
          <w:szCs w:val="32"/>
        </w:rPr>
        <w:t>协议管理</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第四十三条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工伤保险医疗、康复、辅助器具配置服务实行协议管理方式。在公开、公正、平等协商的基础上，经办机构与符合条件的医疗、康复、辅助器具配置机构签订服务协议。</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第四十四条</w:t>
      </w:r>
      <w:r>
        <w:rPr>
          <w:rFonts w:hint="eastAsia" w:ascii="仿宋_GB2312" w:hAnsi="仿宋_GB2312" w:eastAsia="仿宋_GB2312" w:cs="仿宋_GB2312"/>
          <w:color w:val="000000"/>
          <w:sz w:val="32"/>
          <w:szCs w:val="32"/>
        </w:rPr>
        <w:t>自治区社保局负责制定全区统一的工伤保险服务协议文本，市、县（区）经办机构根据政策要求和实际情况及时调整文本相关内容。工伤保险服务协议期限为1-3年，工伤保险服务协议应包括就医管理、服务管理、目录管理、信息系统管理、费用审核与结算、监督管理、违约责任、协议有效期限等内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工伤保险服务协议在履行过程中如遇情况变化，需要变更、补充或终止的，双方应按照协议约定及时协商议定。</w:t>
      </w:r>
    </w:p>
    <w:p>
      <w:pPr>
        <w:widowControl/>
        <w:spacing w:line="560" w:lineRule="exact"/>
        <w:ind w:firstLine="640" w:firstLineChars="200"/>
        <w:rPr>
          <w:color w:val="000000"/>
          <w:sz w:val="32"/>
          <w:szCs w:val="32"/>
        </w:rPr>
      </w:pPr>
      <w:r>
        <w:rPr>
          <w:rFonts w:hint="eastAsia" w:ascii="黑体" w:hAnsi="黑体" w:eastAsia="黑体" w:cs="黑体"/>
          <w:color w:val="000000"/>
          <w:sz w:val="32"/>
          <w:szCs w:val="32"/>
        </w:rPr>
        <w:t>第四十五条</w:t>
      </w:r>
      <w:r>
        <w:rPr>
          <w:rFonts w:ascii="黑体" w:hAnsi="黑体" w:eastAsia="黑体" w:cs="黑体"/>
          <w:color w:val="000000"/>
          <w:sz w:val="32"/>
          <w:szCs w:val="32"/>
        </w:rPr>
        <w:t xml:space="preserve"> </w:t>
      </w:r>
      <w:r>
        <w:rPr>
          <w:rFonts w:hint="eastAsia" w:ascii="仿宋_GB2312" w:hAnsi="仿宋_GB2312" w:eastAsia="仿宋_GB2312" w:cs="仿宋_GB2312"/>
          <w:color w:val="000000"/>
          <w:kern w:val="0"/>
          <w:sz w:val="32"/>
          <w:szCs w:val="32"/>
          <w:lang w:bidi="ar"/>
        </w:rPr>
        <w:t>工伤保险</w:t>
      </w:r>
      <w:r>
        <w:rPr>
          <w:rFonts w:ascii="仿宋_GB2312" w:hAnsi="仿宋_GB2312" w:eastAsia="仿宋_GB2312" w:cs="仿宋_GB2312"/>
          <w:color w:val="000000"/>
          <w:kern w:val="0"/>
          <w:sz w:val="32"/>
          <w:szCs w:val="32"/>
          <w:lang w:bidi="ar"/>
        </w:rPr>
        <w:t>协议医疗机构必须具备以下基本条件</w:t>
      </w:r>
      <w:r>
        <w:rPr>
          <w:rFonts w:hint="eastAsia" w:ascii="仿宋_GB2312" w:hAnsi="仿宋_GB2312" w:eastAsia="仿宋_GB2312" w:cs="仿宋_GB2312"/>
          <w:color w:val="000000"/>
          <w:sz w:val="32"/>
          <w:szCs w:val="32"/>
          <w:vertAlign w:val="superscript"/>
        </w:rPr>
        <w:t>7</w:t>
      </w:r>
      <w:r>
        <w:rPr>
          <w:rFonts w:ascii="仿宋_GB2312" w:hAnsi="仿宋_GB2312" w:eastAsia="仿宋_GB2312" w:cs="仿宋_GB2312"/>
          <w:color w:val="000000"/>
          <w:kern w:val="0"/>
          <w:sz w:val="32"/>
          <w:szCs w:val="32"/>
          <w:lang w:bidi="ar"/>
        </w:rPr>
        <w:t xml:space="preserve">： </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（一）经卫生</w:t>
      </w:r>
      <w:r>
        <w:rPr>
          <w:rFonts w:hint="eastAsia" w:ascii="仿宋_GB2312" w:hAnsi="仿宋_GB2312" w:eastAsia="仿宋_GB2312" w:cs="仿宋_GB2312"/>
          <w:color w:val="000000"/>
          <w:kern w:val="0"/>
          <w:sz w:val="32"/>
          <w:szCs w:val="32"/>
          <w:lang w:bidi="ar"/>
        </w:rPr>
        <w:t>健康</w:t>
      </w:r>
      <w:r>
        <w:rPr>
          <w:rFonts w:ascii="仿宋_GB2312" w:hAnsi="仿宋_GB2312" w:eastAsia="仿宋_GB2312" w:cs="仿宋_GB2312"/>
          <w:color w:val="000000"/>
          <w:kern w:val="0"/>
          <w:sz w:val="32"/>
          <w:szCs w:val="32"/>
          <w:lang w:bidi="ar"/>
        </w:rPr>
        <w:t>部门批准并取得《医疗机构执业许可证》的</w:t>
      </w:r>
      <w:r>
        <w:rPr>
          <w:rFonts w:hint="eastAsia" w:ascii="仿宋_GB2312" w:hAnsi="仿宋_GB2312" w:eastAsia="仿宋_GB2312" w:cs="仿宋_GB2312"/>
          <w:color w:val="000000"/>
          <w:kern w:val="0"/>
          <w:sz w:val="32"/>
          <w:szCs w:val="32"/>
          <w:lang w:bidi="ar"/>
        </w:rPr>
        <w:t>各类</w:t>
      </w:r>
      <w:r>
        <w:rPr>
          <w:rFonts w:ascii="仿宋_GB2312" w:hAnsi="仿宋_GB2312" w:eastAsia="仿宋_GB2312" w:cs="仿宋_GB2312"/>
          <w:color w:val="000000"/>
          <w:kern w:val="0"/>
          <w:sz w:val="32"/>
          <w:szCs w:val="32"/>
          <w:lang w:bidi="ar"/>
        </w:rPr>
        <w:t>医疗机构</w:t>
      </w:r>
      <w:r>
        <w:rPr>
          <w:rFonts w:hint="eastAsia" w:ascii="仿宋_GB2312" w:hAnsi="仿宋_GB2312" w:eastAsia="仿宋_GB2312" w:cs="仿宋_GB2312"/>
          <w:color w:val="000000"/>
          <w:kern w:val="0"/>
          <w:sz w:val="32"/>
          <w:szCs w:val="32"/>
          <w:lang w:bidi="ar"/>
        </w:rPr>
        <w:t>，以及经卫生健康部门同意对社会提供服务的军队医疗机构；</w:t>
      </w:r>
    </w:p>
    <w:p>
      <w:pPr>
        <w:widowControl/>
        <w:spacing w:line="560" w:lineRule="exact"/>
        <w:ind w:firstLine="640" w:firstLineChars="200"/>
        <w:rPr>
          <w:color w:val="000000"/>
          <w:sz w:val="32"/>
          <w:szCs w:val="32"/>
        </w:rPr>
      </w:pPr>
      <w:r>
        <w:rPr>
          <w:rFonts w:ascii="仿宋_GB2312" w:hAnsi="仿宋_GB2312" w:eastAsia="仿宋_GB2312" w:cs="仿宋_GB2312"/>
          <w:color w:val="000000"/>
          <w:kern w:val="0"/>
          <w:sz w:val="32"/>
          <w:szCs w:val="32"/>
          <w:lang w:bidi="ar"/>
        </w:rPr>
        <w:t>（二）具备为工伤职工提供良好医疗服务的条件，在工伤救治、康复和职业病防治方面有专业技术优势</w:t>
      </w:r>
      <w:r>
        <w:rPr>
          <w:rFonts w:hint="eastAsia" w:ascii="仿宋_GB2312" w:hAnsi="仿宋_GB2312" w:eastAsia="仿宋_GB2312" w:cs="仿宋_GB2312"/>
          <w:color w:val="000000"/>
          <w:kern w:val="0"/>
          <w:sz w:val="32"/>
          <w:szCs w:val="32"/>
          <w:lang w:bidi="ar"/>
        </w:rPr>
        <w:t>；</w:t>
      </w:r>
    </w:p>
    <w:p>
      <w:pPr>
        <w:widowControl/>
        <w:numPr>
          <w:ilvl w:val="0"/>
          <w:numId w:val="1"/>
        </w:numPr>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有健全和完善的医疗服务管理制度，符合工伤保险信息化要求，具备工伤医疗服务、信息传输、结算必需的设施、设备；</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（四）遵守国家有关医疗服务和职业病防治管理的法规和标准，遵守国家</w:t>
      </w:r>
      <w:r>
        <w:rPr>
          <w:rFonts w:hint="eastAsia" w:ascii="仿宋_GB2312" w:hAnsi="仿宋_GB2312" w:eastAsia="仿宋_GB2312" w:cs="仿宋_GB2312"/>
          <w:color w:val="000000"/>
          <w:kern w:val="0"/>
          <w:sz w:val="32"/>
          <w:szCs w:val="32"/>
          <w:lang w:bidi="ar"/>
        </w:rPr>
        <w:t>、自治区</w:t>
      </w:r>
      <w:r>
        <w:rPr>
          <w:rFonts w:ascii="仿宋_GB2312" w:hAnsi="仿宋_GB2312" w:eastAsia="仿宋_GB2312" w:cs="仿宋_GB2312"/>
          <w:color w:val="000000"/>
          <w:kern w:val="0"/>
          <w:sz w:val="32"/>
          <w:szCs w:val="32"/>
          <w:lang w:bidi="ar"/>
        </w:rPr>
        <w:t>规定的医疗服务和药品的价格政策；</w:t>
      </w:r>
    </w:p>
    <w:p>
      <w:pPr>
        <w:widowControl/>
        <w:spacing w:line="560" w:lineRule="exact"/>
        <w:ind w:firstLine="640" w:firstLineChars="200"/>
        <w:rPr>
          <w:color w:val="000000"/>
          <w:sz w:val="32"/>
          <w:szCs w:val="32"/>
        </w:rPr>
      </w:pPr>
      <w:r>
        <w:rPr>
          <w:rFonts w:hint="eastAsia" w:ascii="仿宋_GB2312" w:hAnsi="仿宋_GB2312" w:eastAsia="仿宋_GB2312" w:cs="仿宋_GB2312"/>
          <w:color w:val="000000"/>
          <w:kern w:val="0"/>
          <w:sz w:val="32"/>
          <w:szCs w:val="32"/>
          <w:lang w:bidi="ar"/>
        </w:rPr>
        <w:t>（五）</w:t>
      </w:r>
      <w:r>
        <w:rPr>
          <w:rFonts w:ascii="仿宋_GB2312" w:hAnsi="仿宋_GB2312" w:eastAsia="仿宋_GB2312" w:cs="仿宋_GB2312"/>
          <w:color w:val="000000"/>
          <w:kern w:val="0"/>
          <w:sz w:val="32"/>
          <w:szCs w:val="32"/>
          <w:lang w:bidi="ar"/>
        </w:rPr>
        <w:t>遵守工伤保险的法律法规。</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黑体" w:hAnsi="黑体" w:eastAsia="黑体" w:cs="黑体"/>
          <w:color w:val="000000"/>
          <w:sz w:val="32"/>
          <w:szCs w:val="32"/>
        </w:rPr>
        <w:t>第四十六条</w:t>
      </w:r>
      <w:r>
        <w:rPr>
          <w:rFonts w:hint="eastAsia" w:ascii="仿宋_GB2312" w:hAnsi="仿宋_GB2312" w:eastAsia="仿宋_GB2312" w:cs="仿宋_GB2312"/>
          <w:b/>
          <w:bCs/>
          <w:color w:val="000000"/>
          <w:sz w:val="32"/>
          <w:szCs w:val="32"/>
        </w:rPr>
        <w:t xml:space="preserve"> </w:t>
      </w:r>
      <w:r>
        <w:rPr>
          <w:rFonts w:ascii="仿宋_GB2312" w:hAnsi="仿宋_GB2312" w:eastAsia="仿宋_GB2312" w:cs="仿宋_GB2312"/>
          <w:color w:val="000000"/>
          <w:kern w:val="0"/>
          <w:sz w:val="32"/>
          <w:szCs w:val="32"/>
          <w:lang w:bidi="ar"/>
        </w:rPr>
        <w:t>工伤保险</w:t>
      </w:r>
      <w:r>
        <w:rPr>
          <w:rFonts w:hint="eastAsia" w:ascii="仿宋_GB2312" w:hAnsi="仿宋_GB2312" w:eastAsia="仿宋_GB2312" w:cs="仿宋_GB2312"/>
          <w:color w:val="000000"/>
          <w:kern w:val="0"/>
          <w:sz w:val="32"/>
          <w:szCs w:val="32"/>
          <w:lang w:bidi="ar"/>
        </w:rPr>
        <w:t>协议康复</w:t>
      </w:r>
      <w:r>
        <w:rPr>
          <w:rFonts w:ascii="仿宋_GB2312" w:hAnsi="仿宋_GB2312" w:eastAsia="仿宋_GB2312" w:cs="仿宋_GB2312"/>
          <w:color w:val="000000"/>
          <w:kern w:val="0"/>
          <w:sz w:val="32"/>
          <w:szCs w:val="32"/>
          <w:lang w:bidi="ar"/>
        </w:rPr>
        <w:t>机构必须具备以下基本条件</w:t>
      </w:r>
      <w:r>
        <w:rPr>
          <w:rFonts w:hint="eastAsia" w:ascii="仿宋_GB2312" w:hAnsi="仿宋_GB2312" w:eastAsia="仿宋_GB2312" w:cs="仿宋_GB2312"/>
          <w:color w:val="000000"/>
          <w:kern w:val="0"/>
          <w:sz w:val="32"/>
          <w:szCs w:val="32"/>
          <w:lang w:bidi="ar"/>
        </w:rPr>
        <w:t>：</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（一）</w:t>
      </w:r>
      <w:r>
        <w:rPr>
          <w:rFonts w:hint="eastAsia" w:ascii="仿宋_GB2312" w:hAnsi="仿宋_GB2312" w:eastAsia="仿宋_GB2312" w:cs="仿宋_GB2312"/>
          <w:color w:val="000000"/>
          <w:kern w:val="0"/>
          <w:sz w:val="32"/>
          <w:szCs w:val="32"/>
          <w:lang w:bidi="ar"/>
        </w:rPr>
        <w:t>具备二级以上康复专科机构条件或三级综合医疗机构资质，康复技术水平在所在地区处于领先水平；</w:t>
      </w:r>
      <w:r>
        <w:rPr>
          <w:rFonts w:ascii="仿宋_GB2312" w:hAnsi="仿宋_GB2312" w:eastAsia="仿宋_GB2312" w:cs="仿宋_GB2312"/>
          <w:color w:val="000000"/>
          <w:kern w:val="0"/>
          <w:sz w:val="32"/>
          <w:szCs w:val="32"/>
          <w:lang w:bidi="ar"/>
        </w:rPr>
        <w:t xml:space="preserve"> </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（二）设有专门的康复病房，康复病房床位在 50 张以上，每张病床净使用面积在6平方米左右； </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（三）康复业务用房面积在800平方米以上（不含病房），有独立的康复功能评定、康复治疗和康复支具安装室等； </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（四）有较为完善的康复器械和设备； </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（五）拥有10名以上康复专业医师（其中副高级以上职称人员比例一般不低于40%），经过专业培训的康复治疗师20名以上； </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（六）建立了工伤康复管理规章制度，设有工伤康复管理专职机构和人员； </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 xml:space="preserve">（七）有安全稳定可靠的网络信息线路和设备。 </w:t>
      </w:r>
    </w:p>
    <w:p>
      <w:pPr>
        <w:spacing w:line="560" w:lineRule="exact"/>
        <w:ind w:firstLine="640"/>
        <w:rPr>
          <w:rFonts w:ascii="仿宋_GB2312" w:eastAsia="仿宋_GB2312"/>
          <w:sz w:val="32"/>
          <w:szCs w:val="32"/>
        </w:rPr>
      </w:pPr>
      <w:r>
        <w:rPr>
          <w:rFonts w:hint="eastAsia" w:ascii="黑体" w:hAnsi="黑体" w:eastAsia="黑体" w:cs="黑体"/>
          <w:color w:val="000000"/>
          <w:sz w:val="32"/>
          <w:szCs w:val="32"/>
        </w:rPr>
        <w:t>第四十七条</w:t>
      </w:r>
      <w:r>
        <w:rPr>
          <w:rFonts w:ascii="黑体" w:hAnsi="黑体" w:eastAsia="黑体" w:cs="黑体"/>
          <w:color w:val="000000"/>
          <w:sz w:val="32"/>
          <w:szCs w:val="32"/>
        </w:rPr>
        <w:t xml:space="preserve"> </w:t>
      </w:r>
      <w:r>
        <w:rPr>
          <w:rFonts w:hint="eastAsia" w:ascii="仿宋_GB2312" w:eastAsia="仿宋_GB2312"/>
          <w:sz w:val="32"/>
          <w:szCs w:val="32"/>
        </w:rPr>
        <w:t>工伤保险协议辅助器具配置机构必须具备以下基本条件：</w:t>
      </w:r>
    </w:p>
    <w:p>
      <w:pPr>
        <w:spacing w:line="560" w:lineRule="exact"/>
        <w:ind w:firstLine="420"/>
        <w:rPr>
          <w:rFonts w:ascii="仿宋_GB2312" w:eastAsia="仿宋_GB2312"/>
          <w:sz w:val="32"/>
          <w:szCs w:val="32"/>
        </w:rPr>
      </w:pPr>
      <w:r>
        <w:rPr>
          <w:rFonts w:hint="eastAsia" w:ascii="仿宋_GB2312" w:eastAsia="仿宋_GB2312"/>
          <w:sz w:val="32"/>
          <w:szCs w:val="32"/>
        </w:rPr>
        <w:t xml:space="preserve">（一）持有《企业法人营业执照》《假肢矫形器生产装配企业经营许可证》； </w:t>
      </w:r>
    </w:p>
    <w:p>
      <w:pPr>
        <w:spacing w:line="560" w:lineRule="exact"/>
        <w:ind w:firstLine="420"/>
        <w:rPr>
          <w:rFonts w:ascii="仿宋_GB2312" w:eastAsia="仿宋_GB2312"/>
          <w:sz w:val="32"/>
          <w:szCs w:val="32"/>
        </w:rPr>
      </w:pPr>
      <w:r>
        <w:rPr>
          <w:rFonts w:hint="eastAsia" w:ascii="仿宋_GB2312" w:eastAsia="仿宋_GB2312"/>
          <w:sz w:val="32"/>
          <w:szCs w:val="32"/>
        </w:rPr>
        <w:t xml:space="preserve">（二）建立了工伤辅助器具配置管理规章制度，设有工伤辅助器具配置管理专职人员，配备相应的工伤保险辅助器具配置专业工作人员； </w:t>
      </w:r>
    </w:p>
    <w:p>
      <w:pPr>
        <w:spacing w:line="560" w:lineRule="exact"/>
        <w:ind w:firstLine="420"/>
        <w:rPr>
          <w:rFonts w:ascii="仿宋_GB2312" w:eastAsia="仿宋_GB2312"/>
          <w:sz w:val="32"/>
          <w:szCs w:val="32"/>
        </w:rPr>
      </w:pPr>
      <w:r>
        <w:rPr>
          <w:rFonts w:hint="eastAsia" w:ascii="仿宋_GB2312" w:eastAsia="仿宋_GB2312"/>
          <w:sz w:val="32"/>
          <w:szCs w:val="32"/>
        </w:rPr>
        <w:t>（三）有安全稳定可靠的网络信息线路和设备。</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第四十八条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各地经办机构应与签订工伤保险服务协议的医疗（康复、辅助器具配置）服务机构（以下简称工伤保险协议机构）加强沟通协商，及时告知协议机构有关工伤保险政策及管理制度、操作规程的变化等情况，并进行工伤保险经办政策的宣传、解释与培训。</w:t>
      </w:r>
    </w:p>
    <w:p>
      <w:pPr>
        <w:widowControl/>
        <w:spacing w:line="560" w:lineRule="exact"/>
        <w:ind w:firstLine="640" w:firstLineChars="200"/>
        <w:rPr>
          <w:color w:val="000000"/>
          <w:sz w:val="32"/>
          <w:szCs w:val="32"/>
        </w:rPr>
      </w:pPr>
      <w:r>
        <w:rPr>
          <w:rFonts w:hint="eastAsia" w:ascii="黑体" w:hAnsi="黑体" w:eastAsia="黑体" w:cs="黑体"/>
          <w:color w:val="000000"/>
          <w:sz w:val="32"/>
          <w:szCs w:val="32"/>
        </w:rPr>
        <w:t>第四十九条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各地经办机构按照协议对工伤保险协议机构进行监督检查，</w:t>
      </w:r>
      <w:r>
        <w:rPr>
          <w:rFonts w:ascii="仿宋_GB2312" w:hAnsi="仿宋_GB2312" w:eastAsia="仿宋_GB2312" w:cs="仿宋_GB2312"/>
          <w:color w:val="000000"/>
          <w:kern w:val="0"/>
          <w:sz w:val="32"/>
          <w:szCs w:val="32"/>
          <w:lang w:bidi="ar"/>
        </w:rPr>
        <w:t>负责对与其签订工伤保险服务协议的机构进行检查和考核，定期或不定期对工伤保险服务协议机构进行抽查；督促其遵守因病施治的原则，做到合理检查、合理治疗、合理用药、合理收费。</w:t>
      </w:r>
    </w:p>
    <w:p>
      <w:pPr>
        <w:widowControl/>
        <w:spacing w:line="560" w:lineRule="exact"/>
        <w:ind w:firstLine="640" w:firstLineChars="200"/>
        <w:rPr>
          <w:color w:val="000000"/>
          <w:sz w:val="32"/>
          <w:szCs w:val="32"/>
        </w:rPr>
      </w:pPr>
      <w:r>
        <w:rPr>
          <w:rFonts w:ascii="仿宋_GB2312" w:hAnsi="仿宋_GB2312" w:eastAsia="仿宋_GB2312" w:cs="仿宋_GB2312"/>
          <w:color w:val="000000"/>
          <w:kern w:val="0"/>
          <w:sz w:val="32"/>
          <w:szCs w:val="32"/>
          <w:lang w:bidi="ar"/>
        </w:rPr>
        <w:t>对违反服务协议的机构，要依据有关规定和协议约定，采取约谈、限期整改、暂停拨付、拒付费用、暂停协议、解除协议等处理措施，对已支付的违规工伤保险费用予以追回。对存在欺诈骗保行为的服务协议机构，依法依规处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如出现协议中规定的需解除协议的情形，提出解除协议的一方应按照协议规定时间通知另一方，并共同做好已收治工伤职工的医疗（康复）、辅助器具配置服务。</w:t>
      </w:r>
    </w:p>
    <w:p>
      <w:pPr>
        <w:spacing w:line="560" w:lineRule="exact"/>
        <w:ind w:firstLine="640" w:firstLineChars="200"/>
        <w:rPr>
          <w:rFonts w:ascii="Times New Roman Regular" w:hAnsi="Times New Roman Regular" w:eastAsia="仿宋_GB2312" w:cs="Times New Roman Regular"/>
          <w:color w:val="000000"/>
          <w:sz w:val="32"/>
          <w:szCs w:val="32"/>
        </w:rPr>
      </w:pPr>
      <w:r>
        <w:rPr>
          <w:rFonts w:hint="eastAsia" w:ascii="黑体" w:hAnsi="黑体" w:eastAsia="黑体" w:cs="黑体"/>
          <w:color w:val="000000"/>
          <w:sz w:val="32"/>
          <w:szCs w:val="32"/>
        </w:rPr>
        <w:t>第五十条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市、县（区）经办</w:t>
      </w:r>
      <w:r>
        <w:rPr>
          <w:rFonts w:ascii="仿宋_GB2312" w:hAnsi="仿宋_GB2312" w:eastAsia="仿宋_GB2312" w:cs="仿宋_GB2312"/>
          <w:color w:val="000000"/>
          <w:sz w:val="32"/>
          <w:szCs w:val="32"/>
        </w:rPr>
        <w:t>机构</w:t>
      </w:r>
      <w:r>
        <w:rPr>
          <w:rFonts w:hint="eastAsia" w:ascii="仿宋_GB2312" w:hAnsi="仿宋_GB2312" w:eastAsia="仿宋_GB2312" w:cs="仿宋_GB2312"/>
          <w:color w:val="000000"/>
          <w:sz w:val="32"/>
          <w:szCs w:val="32"/>
        </w:rPr>
        <w:t>负责定期与属地内符合条件的医疗、康复、辅助器具配置机构签订服务协议，做好协议管理工作。已签订服务协议的工伤保险医疗、康复、辅助器具配置协议机构在全区范围内互认；被确定为</w:t>
      </w:r>
      <w:r>
        <w:rPr>
          <w:rFonts w:hint="eastAsia" w:ascii="Times New Roman Regular" w:hAnsi="Times New Roman Regular" w:eastAsia="仿宋_GB2312" w:cs="Times New Roman Regular"/>
          <w:color w:val="000000"/>
          <w:sz w:val="32"/>
          <w:szCs w:val="32"/>
        </w:rPr>
        <w:t>跨省</w:t>
      </w:r>
      <w:r>
        <w:rPr>
          <w:rFonts w:ascii="Times New Roman Regular" w:hAnsi="Times New Roman Regular" w:eastAsia="仿宋_GB2312" w:cs="Times New Roman Regular"/>
          <w:color w:val="000000"/>
          <w:sz w:val="32"/>
          <w:szCs w:val="32"/>
        </w:rPr>
        <w:t>异地就医</w:t>
      </w:r>
      <w:r>
        <w:rPr>
          <w:rFonts w:hint="eastAsia" w:ascii="Times New Roman Regular" w:hAnsi="Times New Roman Regular" w:eastAsia="仿宋_GB2312" w:cs="Times New Roman Regular"/>
          <w:color w:val="000000"/>
          <w:sz w:val="32"/>
          <w:szCs w:val="32"/>
        </w:rPr>
        <w:t>即时结算</w:t>
      </w:r>
      <w:r>
        <w:rPr>
          <w:rFonts w:ascii="Times New Roman Regular" w:hAnsi="Times New Roman Regular" w:eastAsia="仿宋_GB2312" w:cs="Times New Roman Regular"/>
          <w:color w:val="000000"/>
          <w:sz w:val="32"/>
          <w:szCs w:val="32"/>
        </w:rPr>
        <w:t>协议机构</w:t>
      </w:r>
      <w:r>
        <w:rPr>
          <w:rFonts w:hint="eastAsia" w:ascii="Times New Roman Regular" w:hAnsi="Times New Roman Regular" w:eastAsia="仿宋_GB2312" w:cs="Times New Roman Regular"/>
          <w:color w:val="000000"/>
          <w:sz w:val="32"/>
          <w:szCs w:val="32"/>
        </w:rPr>
        <w:t>的在全国范围内互认。各地工伤保险协议机构</w:t>
      </w:r>
      <w:r>
        <w:rPr>
          <w:rFonts w:ascii="Times New Roman Regular" w:hAnsi="Times New Roman Regular" w:eastAsia="仿宋_GB2312" w:cs="Times New Roman Regular"/>
          <w:color w:val="000000"/>
          <w:sz w:val="32"/>
          <w:szCs w:val="32"/>
        </w:rPr>
        <w:t>发生</w:t>
      </w:r>
      <w:r>
        <w:rPr>
          <w:rFonts w:hint="eastAsia" w:ascii="Times New Roman Regular" w:hAnsi="Times New Roman Regular" w:eastAsia="仿宋_GB2312" w:cs="Times New Roman Regular"/>
          <w:color w:val="000000"/>
          <w:sz w:val="32"/>
          <w:szCs w:val="32"/>
        </w:rPr>
        <w:t>新增、</w:t>
      </w:r>
      <w:r>
        <w:rPr>
          <w:rFonts w:ascii="Times New Roman Regular" w:hAnsi="Times New Roman Regular" w:eastAsia="仿宋_GB2312" w:cs="Times New Roman Regular"/>
          <w:color w:val="000000"/>
          <w:sz w:val="32"/>
          <w:szCs w:val="32"/>
        </w:rPr>
        <w:t>中止或终止协议、停业或歇业等情形的，</w:t>
      </w:r>
      <w:r>
        <w:rPr>
          <w:rFonts w:hint="eastAsia" w:ascii="Times New Roman Regular" w:hAnsi="Times New Roman Regular" w:eastAsia="仿宋_GB2312" w:cs="Times New Roman Regular"/>
          <w:color w:val="000000"/>
          <w:sz w:val="32"/>
          <w:szCs w:val="32"/>
        </w:rPr>
        <w:t>应当</w:t>
      </w:r>
      <w:r>
        <w:rPr>
          <w:rFonts w:ascii="Times New Roman Regular" w:hAnsi="Times New Roman Regular" w:eastAsia="仿宋_GB2312" w:cs="Times New Roman Regular"/>
          <w:color w:val="000000"/>
          <w:sz w:val="32"/>
          <w:szCs w:val="32"/>
        </w:rPr>
        <w:t>及时</w:t>
      </w:r>
      <w:r>
        <w:rPr>
          <w:rFonts w:hint="eastAsia" w:ascii="Times New Roman Regular" w:hAnsi="Times New Roman Regular" w:eastAsia="仿宋_GB2312" w:cs="Times New Roman Regular"/>
          <w:color w:val="000000"/>
          <w:sz w:val="32"/>
          <w:szCs w:val="32"/>
        </w:rPr>
        <w:t>上报</w:t>
      </w:r>
      <w:r>
        <w:rPr>
          <w:rFonts w:ascii="Times New Roman Regular" w:hAnsi="Times New Roman Regular" w:eastAsia="仿宋_GB2312" w:cs="Times New Roman Regular"/>
          <w:color w:val="000000"/>
          <w:sz w:val="32"/>
          <w:szCs w:val="32"/>
        </w:rPr>
        <w:t>自治区社保局</w:t>
      </w:r>
      <w:r>
        <w:rPr>
          <w:rFonts w:hint="eastAsia" w:ascii="Times New Roman Regular" w:hAnsi="Times New Roman Regular" w:eastAsia="仿宋_GB2312" w:cs="Times New Roman Regular"/>
          <w:color w:val="000000"/>
          <w:sz w:val="32"/>
          <w:szCs w:val="32"/>
        </w:rPr>
        <w:t>，待</w:t>
      </w:r>
      <w:r>
        <w:rPr>
          <w:rFonts w:ascii="Times New Roman Regular" w:hAnsi="Times New Roman Regular" w:eastAsia="仿宋_GB2312" w:cs="Times New Roman Regular"/>
          <w:color w:val="000000"/>
          <w:sz w:val="32"/>
          <w:szCs w:val="32"/>
        </w:rPr>
        <w:t>自治区社保局</w:t>
      </w:r>
      <w:r>
        <w:rPr>
          <w:rFonts w:hint="eastAsia" w:ascii="Times New Roman Regular" w:hAnsi="Times New Roman Regular" w:eastAsia="仿宋_GB2312" w:cs="Times New Roman Regular"/>
          <w:color w:val="000000"/>
          <w:sz w:val="32"/>
          <w:szCs w:val="32"/>
        </w:rPr>
        <w:t>对新增协议机构在全区公开公布后，方可作为</w:t>
      </w:r>
      <w:r>
        <w:rPr>
          <w:rFonts w:hint="eastAsia" w:ascii="仿宋_GB2312" w:hAnsi="仿宋_GB2312" w:eastAsia="仿宋_GB2312" w:cs="仿宋_GB2312"/>
          <w:color w:val="000000"/>
          <w:sz w:val="32"/>
          <w:szCs w:val="32"/>
        </w:rPr>
        <w:t>全区互认的协议机构纳入异地就医即时结算机构范围。</w:t>
      </w:r>
      <w:r>
        <w:rPr>
          <w:rFonts w:hint="eastAsia" w:ascii="Times New Roman Regular" w:hAnsi="Times New Roman Regular" w:eastAsia="仿宋_GB2312" w:cs="Times New Roman Regular"/>
          <w:color w:val="000000"/>
          <w:sz w:val="32"/>
          <w:szCs w:val="32"/>
        </w:rPr>
        <w:t>跨省</w:t>
      </w:r>
      <w:r>
        <w:rPr>
          <w:rFonts w:ascii="Times New Roman Regular" w:hAnsi="Times New Roman Regular" w:eastAsia="仿宋_GB2312" w:cs="Times New Roman Regular"/>
          <w:color w:val="000000"/>
          <w:sz w:val="32"/>
          <w:szCs w:val="32"/>
        </w:rPr>
        <w:t>异地就医</w:t>
      </w:r>
      <w:r>
        <w:rPr>
          <w:rFonts w:hint="eastAsia" w:ascii="Times New Roman Regular" w:hAnsi="Times New Roman Regular" w:eastAsia="仿宋_GB2312" w:cs="Times New Roman Regular"/>
          <w:color w:val="000000"/>
          <w:sz w:val="32"/>
          <w:szCs w:val="32"/>
        </w:rPr>
        <w:t>即时结算</w:t>
      </w:r>
      <w:r>
        <w:rPr>
          <w:rFonts w:ascii="Times New Roman Regular" w:hAnsi="Times New Roman Regular" w:eastAsia="仿宋_GB2312" w:cs="Times New Roman Regular"/>
          <w:color w:val="000000"/>
          <w:sz w:val="32"/>
          <w:szCs w:val="32"/>
        </w:rPr>
        <w:t>协议机构</w:t>
      </w:r>
      <w:r>
        <w:rPr>
          <w:rFonts w:hint="eastAsia" w:ascii="Times New Roman Regular" w:hAnsi="Times New Roman Regular" w:eastAsia="仿宋_GB2312" w:cs="Times New Roman Regular"/>
          <w:color w:val="000000"/>
          <w:sz w:val="32"/>
          <w:szCs w:val="32"/>
        </w:rPr>
        <w:t>信息变更的，由自治区社保局</w:t>
      </w:r>
      <w:r>
        <w:rPr>
          <w:rFonts w:ascii="Times New Roman Regular" w:hAnsi="Times New Roman Regular" w:eastAsia="仿宋_GB2312" w:cs="Times New Roman Regular"/>
          <w:color w:val="000000"/>
          <w:sz w:val="32"/>
          <w:szCs w:val="32"/>
        </w:rPr>
        <w:t>上报</w:t>
      </w:r>
      <w:r>
        <w:rPr>
          <w:rFonts w:hint="eastAsia" w:ascii="Times New Roman Regular" w:hAnsi="Times New Roman Regular" w:eastAsia="仿宋_GB2312" w:cs="Times New Roman Regular"/>
          <w:color w:val="000000"/>
          <w:sz w:val="32"/>
          <w:szCs w:val="32"/>
        </w:rPr>
        <w:t>人社部社保中心</w:t>
      </w:r>
      <w:r>
        <w:rPr>
          <w:rFonts w:ascii="Times New Roman Regular" w:hAnsi="Times New Roman Regular" w:eastAsia="仿宋_GB2312" w:cs="Times New Roman Regular"/>
          <w:color w:val="000000"/>
          <w:sz w:val="32"/>
          <w:szCs w:val="32"/>
        </w:rPr>
        <w:t>，</w:t>
      </w:r>
      <w:r>
        <w:rPr>
          <w:rFonts w:hint="eastAsia" w:ascii="Times New Roman Regular" w:hAnsi="Times New Roman Regular" w:eastAsia="仿宋_GB2312" w:cs="Times New Roman Regular"/>
          <w:color w:val="000000"/>
          <w:sz w:val="32"/>
          <w:szCs w:val="32"/>
        </w:rPr>
        <w:t>待全国</w:t>
      </w:r>
      <w:r>
        <w:rPr>
          <w:rFonts w:ascii="Times New Roman Regular" w:hAnsi="Times New Roman Regular" w:eastAsia="仿宋_GB2312" w:cs="Times New Roman Regular"/>
          <w:color w:val="000000"/>
          <w:sz w:val="32"/>
          <w:szCs w:val="32"/>
        </w:rPr>
        <w:t>协议机构库更新</w:t>
      </w:r>
      <w:r>
        <w:rPr>
          <w:rFonts w:hint="eastAsia" w:ascii="Times New Roman Regular" w:hAnsi="Times New Roman Regular" w:eastAsia="仿宋_GB2312" w:cs="Times New Roman Regular"/>
          <w:color w:val="000000"/>
          <w:sz w:val="32"/>
          <w:szCs w:val="32"/>
        </w:rPr>
        <w:t>后方可生效</w:t>
      </w:r>
      <w:r>
        <w:rPr>
          <w:rFonts w:hint="eastAsia" w:ascii="仿宋_GB2312" w:hAnsi="仿宋_GB2312" w:eastAsia="仿宋_GB2312" w:cs="仿宋_GB2312"/>
          <w:color w:val="000000"/>
          <w:sz w:val="32"/>
          <w:szCs w:val="32"/>
          <w:vertAlign w:val="superscript"/>
        </w:rPr>
        <w:t>8</w:t>
      </w:r>
      <w:r>
        <w:rPr>
          <w:rFonts w:ascii="Times New Roman Regular" w:hAnsi="Times New Roman Regular" w:eastAsia="仿宋_GB2312" w:cs="Times New Roman Regular"/>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第五十一条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市、县（区）经办</w:t>
      </w:r>
      <w:r>
        <w:rPr>
          <w:rFonts w:ascii="仿宋_GB2312" w:hAnsi="仿宋_GB2312" w:eastAsia="仿宋_GB2312" w:cs="仿宋_GB2312"/>
          <w:color w:val="000000"/>
          <w:sz w:val="32"/>
          <w:szCs w:val="32"/>
        </w:rPr>
        <w:t>机构</w:t>
      </w:r>
      <w:r>
        <w:rPr>
          <w:rFonts w:hint="eastAsia" w:ascii="仿宋_GB2312" w:hAnsi="仿宋_GB2312" w:eastAsia="仿宋_GB2312" w:cs="仿宋_GB2312"/>
          <w:color w:val="000000"/>
          <w:sz w:val="32"/>
          <w:szCs w:val="32"/>
        </w:rPr>
        <w:t>要在自治区公布</w:t>
      </w:r>
      <w:r>
        <w:rPr>
          <w:rFonts w:hint="eastAsia" w:ascii="仿宋_GB2312" w:hAnsi="仿宋_GB2312" w:eastAsia="仿宋_GB2312" w:cs="仿宋_GB2312"/>
          <w:bCs/>
          <w:color w:val="000000"/>
          <w:kern w:val="0"/>
          <w:sz w:val="32"/>
          <w:szCs w:val="32"/>
        </w:rPr>
        <w:t>工伤</w:t>
      </w:r>
      <w:r>
        <w:rPr>
          <w:rFonts w:ascii="仿宋_GB2312" w:hAnsi="仿宋_GB2312" w:eastAsia="仿宋_GB2312" w:cs="仿宋_GB2312"/>
          <w:bCs/>
          <w:color w:val="000000"/>
          <w:kern w:val="0"/>
          <w:sz w:val="32"/>
          <w:szCs w:val="32"/>
        </w:rPr>
        <w:t>保险</w:t>
      </w:r>
      <w:r>
        <w:rPr>
          <w:rFonts w:hint="eastAsia" w:ascii="仿宋_GB2312" w:hAnsi="仿宋_GB2312" w:eastAsia="仿宋_GB2312" w:cs="仿宋_GB2312"/>
          <w:color w:val="000000"/>
          <w:sz w:val="32"/>
          <w:szCs w:val="32"/>
        </w:rPr>
        <w:t>协议机构名单的基础上，结合实际，采取广播、电视、报刊、媒体、公告、专栏等方式，将异地就医即时结算协议机构名单对外公布，让用人单位、参保职工熟悉了解，方便工伤职工就医结算。</w:t>
      </w:r>
    </w:p>
    <w:p>
      <w:pPr>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第二节</w:t>
      </w:r>
      <w:r>
        <w:rPr>
          <w:rFonts w:ascii="宋体" w:hAnsi="宋体" w:eastAsia="宋体" w:cs="宋体"/>
          <w:color w:val="000000"/>
          <w:szCs w:val="32"/>
        </w:rPr>
        <w:t xml:space="preserve"> </w:t>
      </w:r>
      <w:r>
        <w:rPr>
          <w:rFonts w:hint="eastAsia" w:ascii="宋体" w:hAnsi="宋体" w:eastAsia="宋体" w:cs="宋体"/>
          <w:color w:val="000000"/>
          <w:szCs w:val="32"/>
        </w:rPr>
        <w:t>工伤医疗管理</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第五十二条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职工发生工伤后，应在工伤保险协议机构进行治疗，情况紧急时可以先到就近的医疗机构急救，待伤情稳定后转至工伤保险协议机构继续治疗。</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sz w:val="32"/>
          <w:szCs w:val="32"/>
        </w:rPr>
        <w:t>职工在参保地以外发生工伤的，应优先选择事故发生地工伤保险协议机构治疗，直接进行即时结算。未即时结算的</w:t>
      </w:r>
      <w:r>
        <w:rPr>
          <w:rFonts w:hint="eastAsia" w:ascii="仿宋_GB2312" w:hAnsi="仿宋_GB2312" w:eastAsia="仿宋_GB2312" w:cs="仿宋_GB2312"/>
          <w:color w:val="000000"/>
          <w:kern w:val="0"/>
          <w:sz w:val="32"/>
          <w:szCs w:val="32"/>
          <w:lang w:bidi="ar"/>
        </w:rPr>
        <w:t>医疗费用先由参保单位或个人垫付，出院后填写《宁夏回族自治区职工工伤保险待遇申报确认表》（附件4）在参保地经办机构零星报销，经办机构应自收到申请之日起20个工作日内办理完毕。</w:t>
      </w:r>
    </w:p>
    <w:p>
      <w:pPr>
        <w:spacing w:line="560" w:lineRule="exact"/>
        <w:ind w:firstLine="627" w:firstLineChars="196"/>
        <w:rPr>
          <w:rFonts w:ascii="仿宋_GB2312" w:hAnsi="仿宋" w:eastAsia="仿宋_GB2312" w:cs="宋体"/>
          <w:color w:val="000000"/>
          <w:kern w:val="0"/>
          <w:sz w:val="32"/>
          <w:szCs w:val="32"/>
        </w:rPr>
      </w:pPr>
      <w:r>
        <w:rPr>
          <w:rFonts w:hint="eastAsia" w:ascii="黑体" w:hAnsi="黑体" w:eastAsia="黑体" w:cs="黑体"/>
          <w:color w:val="000000"/>
          <w:sz w:val="32"/>
          <w:szCs w:val="32"/>
        </w:rPr>
        <w:t>第五十三条</w:t>
      </w:r>
      <w:r>
        <w:rPr>
          <w:rFonts w:hint="eastAsia" w:ascii="仿宋_GB2312" w:hAnsi="仿宋_GB2312" w:eastAsia="仿宋_GB2312" w:cs="仿宋_GB2312"/>
          <w:b/>
          <w:bCs/>
          <w:color w:val="000000"/>
          <w:sz w:val="32"/>
          <w:szCs w:val="32"/>
        </w:rPr>
        <w:t xml:space="preserve"> </w:t>
      </w:r>
      <w:r>
        <w:rPr>
          <w:rFonts w:hint="eastAsia" w:ascii="仿宋_GB2312" w:hAnsi="仿宋" w:eastAsia="仿宋_GB2312" w:cs="宋体"/>
          <w:color w:val="000000"/>
          <w:kern w:val="0"/>
          <w:sz w:val="32"/>
          <w:szCs w:val="32"/>
        </w:rPr>
        <w:t>工伤职工就医时，应出示社会保障卡，协议机构通过社会保障卡识别人员身份，根据身份信息、工伤部位信息对症治疗。</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微软雅黑" w:eastAsia="仿宋_GB2312"/>
          <w:color w:val="000000"/>
          <w:sz w:val="32"/>
          <w:szCs w:val="32"/>
        </w:rPr>
        <w:t>工伤职工出院结算时，尚未完成工伤认定，结算系统中无认定信息的，协议医疗机构应为其办理挂账出院，待工伤认定信息下达后，通过自费转工伤操作为其办理即时结算手续，退回垫付押金。</w:t>
      </w:r>
      <w:r>
        <w:rPr>
          <w:rFonts w:hint="eastAsia" w:ascii="仿宋_GB2312" w:hAnsi="仿宋_GB2312" w:eastAsia="仿宋_GB2312" w:cs="仿宋_GB2312"/>
          <w:color w:val="000000"/>
          <w:kern w:val="0"/>
          <w:sz w:val="32"/>
          <w:szCs w:val="32"/>
          <w:lang w:bidi="ar"/>
        </w:rPr>
        <w:t>工伤职工认定工伤前发生的门诊医疗费用由参保单位或本人垫付后到参保地经办机构零星报销。</w:t>
      </w:r>
    </w:p>
    <w:p>
      <w:pPr>
        <w:pStyle w:val="11"/>
        <w:spacing w:line="560" w:lineRule="exact"/>
        <w:ind w:firstLine="640" w:firstLineChars="200"/>
        <w:rPr>
          <w:rFonts w:ascii="仿宋_GB2312" w:hAnsi="微软雅黑" w:eastAsia="仿宋_GB2312"/>
          <w:color w:val="000000"/>
          <w:sz w:val="32"/>
          <w:szCs w:val="32"/>
        </w:rPr>
      </w:pPr>
      <w:r>
        <w:rPr>
          <w:rFonts w:hint="eastAsia" w:ascii="仿宋_GB2312" w:hAnsi="微软雅黑" w:eastAsia="仿宋_GB2312"/>
          <w:color w:val="000000"/>
          <w:sz w:val="32"/>
          <w:szCs w:val="32"/>
        </w:rPr>
        <w:t>工伤职工办理即时结算时，协议医疗机构应告知其开通社会保障卡金融功能，用于享受住院伙食补助费及后续工伤保险待遇。</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工伤职工因网络故障等因素无法在协议医疗机构即时结算的，由参保单位或本人垫付后，凭原始票据等材料到参保地经办机构零星报销。</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黑体" w:hAnsi="黑体" w:eastAsia="黑体" w:cs="黑体"/>
          <w:color w:val="000000"/>
          <w:sz w:val="32"/>
          <w:szCs w:val="32"/>
        </w:rPr>
        <w:t>第五十四</w:t>
      </w:r>
      <w:r>
        <w:rPr>
          <w:rFonts w:hint="eastAsia" w:ascii="黑体" w:hAnsi="黑体" w:eastAsia="黑体" w:cs="黑体"/>
          <w:color w:val="000000"/>
          <w:sz w:val="32"/>
          <w:szCs w:val="32"/>
          <w:lang w:bidi="ar"/>
        </w:rPr>
        <w:t>条</w:t>
      </w:r>
      <w:r>
        <w:rPr>
          <w:rFonts w:ascii="黑体" w:hAnsi="黑体" w:eastAsia="黑体" w:cs="黑体"/>
          <w:color w:val="000000"/>
          <w:sz w:val="32"/>
          <w:szCs w:val="32"/>
          <w:lang w:bidi="ar"/>
        </w:rPr>
        <w:t xml:space="preserve"> </w:t>
      </w:r>
      <w:r>
        <w:rPr>
          <w:rFonts w:hint="eastAsia" w:ascii="仿宋_GB2312" w:hAnsi="仿宋_GB2312" w:eastAsia="仿宋_GB2312" w:cs="仿宋_GB2312"/>
          <w:color w:val="000000"/>
          <w:kern w:val="0"/>
          <w:sz w:val="32"/>
          <w:szCs w:val="32"/>
          <w:lang w:bidi="ar"/>
        </w:rPr>
        <w:t>为保障工伤门诊医疗服务质量，在认定工伤后工伤门诊实行签约式管理。工伤职工就近选择3家协议医疗机构作为门诊就医签约医疗机构，签约医疗机构根据工伤职工伤情为工伤职工制定门诊治疗方案对症施治。确因伤情需要，也可自行选择自治区范围内具有专业优势或诊疗经验丰富的协议医疗机构门诊签约就医，但总签约医疗机构不超过3家</w:t>
      </w:r>
      <w:r>
        <w:rPr>
          <w:rFonts w:hint="eastAsia" w:ascii="仿宋_GB2312" w:hAnsi="仿宋_GB2312" w:eastAsia="仿宋_GB2312" w:cs="仿宋_GB2312"/>
          <w:color w:val="000000"/>
          <w:sz w:val="32"/>
          <w:szCs w:val="32"/>
          <w:vertAlign w:val="superscript"/>
        </w:rPr>
        <w:t>9</w:t>
      </w:r>
      <w:r>
        <w:rPr>
          <w:rFonts w:hint="eastAsia" w:ascii="仿宋_GB2312" w:hAnsi="仿宋_GB2312" w:eastAsia="仿宋_GB2312" w:cs="仿宋_GB2312"/>
          <w:color w:val="000000"/>
          <w:kern w:val="0"/>
          <w:sz w:val="32"/>
          <w:szCs w:val="32"/>
          <w:lang w:bidi="ar"/>
        </w:rPr>
        <w:t>。</w:t>
      </w:r>
    </w:p>
    <w:p>
      <w:pPr>
        <w:widowControl/>
        <w:spacing w:line="560" w:lineRule="exact"/>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签约医疗机构应保持相对稳定，工伤职工一般每年可变更一次签约医疗机构。</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第五十五条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职工因工伤进行门（急）诊或住院诊疗时，工伤保险协议机构应严格遵守工伤保险诊疗项目目录、工伤保险药品目录、工伤保险住院服务标准（以下简称“三目录”）。对超出“三目录”的相关费用，工伤保险基金不予支付。</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跨省异地就医即时结算的，按照就医地“三目录”进行结算，未即时结算的，按照参保地“三目录”由经办机构零星报销。</w:t>
      </w:r>
    </w:p>
    <w:p>
      <w:pPr>
        <w:spacing w:line="560" w:lineRule="exact"/>
        <w:ind w:firstLine="640" w:firstLineChars="200"/>
        <w:rPr>
          <w:rStyle w:val="54"/>
          <w:rFonts w:hint="default"/>
        </w:rPr>
      </w:pPr>
      <w:r>
        <w:rPr>
          <w:rFonts w:hint="eastAsia" w:ascii="黑体" w:hAnsi="黑体" w:eastAsia="黑体" w:cs="黑体"/>
          <w:color w:val="000000"/>
          <w:sz w:val="32"/>
          <w:szCs w:val="32"/>
        </w:rPr>
        <w:t>第五十六条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kern w:val="0"/>
          <w:sz w:val="32"/>
          <w:szCs w:val="32"/>
          <w:lang w:bidi="ar"/>
        </w:rPr>
        <w:t>协议医疗机构</w:t>
      </w:r>
      <w:r>
        <w:rPr>
          <w:rFonts w:ascii="仿宋_GB2312" w:eastAsia="仿宋_GB2312"/>
          <w:color w:val="000000"/>
          <w:sz w:val="32"/>
          <w:szCs w:val="32"/>
        </w:rPr>
        <w:t>在工伤职工</w:t>
      </w:r>
      <w:r>
        <w:rPr>
          <w:rFonts w:hint="eastAsia" w:ascii="仿宋_GB2312" w:eastAsia="仿宋_GB2312"/>
          <w:color w:val="000000"/>
          <w:sz w:val="32"/>
          <w:szCs w:val="32"/>
        </w:rPr>
        <w:t>治疗</w:t>
      </w:r>
      <w:r>
        <w:rPr>
          <w:rFonts w:ascii="仿宋_GB2312" w:eastAsia="仿宋_GB2312"/>
          <w:color w:val="000000"/>
          <w:sz w:val="32"/>
          <w:szCs w:val="32"/>
        </w:rPr>
        <w:t>期间</w:t>
      </w:r>
      <w:r>
        <w:rPr>
          <w:rFonts w:hint="eastAsia" w:ascii="仿宋_GB2312" w:eastAsia="仿宋_GB2312"/>
          <w:color w:val="000000"/>
          <w:sz w:val="32"/>
          <w:szCs w:val="32"/>
        </w:rPr>
        <w:t>，</w:t>
      </w:r>
      <w:r>
        <w:rPr>
          <w:rFonts w:ascii="仿宋_GB2312" w:eastAsia="仿宋_GB2312"/>
          <w:color w:val="000000"/>
          <w:sz w:val="32"/>
          <w:szCs w:val="32"/>
        </w:rPr>
        <w:t>要在诊断时准确区分</w:t>
      </w:r>
      <w:r>
        <w:rPr>
          <w:rFonts w:hint="eastAsia" w:ascii="TimesNewRomanPSMT"/>
          <w:color w:val="000000"/>
          <w:sz w:val="32"/>
          <w:szCs w:val="32"/>
        </w:rPr>
        <w:t>“</w:t>
      </w:r>
      <w:r>
        <w:rPr>
          <w:rFonts w:ascii="仿宋_GB2312" w:eastAsia="仿宋_GB2312"/>
          <w:color w:val="000000"/>
          <w:sz w:val="32"/>
          <w:szCs w:val="32"/>
        </w:rPr>
        <w:t>工伤</w:t>
      </w:r>
      <w:r>
        <w:rPr>
          <w:rFonts w:hint="eastAsia" w:ascii="仿宋_GB2312" w:eastAsia="仿宋_GB2312"/>
          <w:color w:val="000000"/>
          <w:sz w:val="32"/>
          <w:szCs w:val="32"/>
        </w:rPr>
        <w:t>治疗</w:t>
      </w:r>
      <w:r>
        <w:rPr>
          <w:rFonts w:hint="eastAsia" w:ascii="TimesNewRomanPSMT"/>
          <w:color w:val="000000"/>
          <w:sz w:val="32"/>
          <w:szCs w:val="32"/>
        </w:rPr>
        <w:t>”</w:t>
      </w:r>
      <w:r>
        <w:rPr>
          <w:rFonts w:ascii="仿宋_GB2312" w:eastAsia="仿宋_GB2312"/>
          <w:color w:val="000000"/>
          <w:sz w:val="32"/>
          <w:szCs w:val="32"/>
        </w:rPr>
        <w:t>与</w:t>
      </w:r>
      <w:r>
        <w:rPr>
          <w:rFonts w:hint="eastAsia" w:ascii="TimesNewRomanPSMT"/>
          <w:color w:val="000000"/>
          <w:sz w:val="32"/>
          <w:szCs w:val="32"/>
        </w:rPr>
        <w:t>“</w:t>
      </w:r>
      <w:r>
        <w:rPr>
          <w:rFonts w:ascii="仿宋_GB2312" w:eastAsia="仿宋_GB2312"/>
          <w:color w:val="000000"/>
          <w:sz w:val="32"/>
          <w:szCs w:val="32"/>
        </w:rPr>
        <w:t>非工伤</w:t>
      </w:r>
      <w:r>
        <w:rPr>
          <w:rFonts w:hint="eastAsia" w:ascii="仿宋_GB2312" w:eastAsia="仿宋_GB2312"/>
          <w:color w:val="000000"/>
          <w:sz w:val="32"/>
          <w:szCs w:val="32"/>
        </w:rPr>
        <w:t>治疗</w:t>
      </w:r>
      <w:r>
        <w:rPr>
          <w:rFonts w:hint="eastAsia" w:ascii="TimesNewRomanPSMT"/>
          <w:color w:val="000000"/>
          <w:sz w:val="32"/>
          <w:szCs w:val="32"/>
        </w:rPr>
        <w:t>”</w:t>
      </w:r>
      <w:r>
        <w:rPr>
          <w:rFonts w:ascii="仿宋_GB2312" w:eastAsia="仿宋_GB2312"/>
          <w:color w:val="000000"/>
          <w:sz w:val="32"/>
          <w:szCs w:val="32"/>
        </w:rPr>
        <w:t>，严格按照国家</w:t>
      </w:r>
      <w:r>
        <w:rPr>
          <w:rFonts w:hint="eastAsia" w:ascii="仿宋_GB2312" w:eastAsia="仿宋_GB2312"/>
          <w:color w:val="000000"/>
          <w:sz w:val="32"/>
          <w:szCs w:val="32"/>
        </w:rPr>
        <w:t>、自治区</w:t>
      </w:r>
      <w:r>
        <w:rPr>
          <w:rFonts w:ascii="仿宋_GB2312" w:eastAsia="仿宋_GB2312"/>
          <w:color w:val="000000"/>
          <w:sz w:val="32"/>
          <w:szCs w:val="32"/>
        </w:rPr>
        <w:t>有关</w:t>
      </w:r>
      <w:r>
        <w:rPr>
          <w:rFonts w:hint="eastAsia" w:ascii="仿宋_GB2312" w:eastAsia="仿宋_GB2312"/>
          <w:color w:val="000000"/>
          <w:sz w:val="32"/>
          <w:szCs w:val="32"/>
        </w:rPr>
        <w:t>医疗</w:t>
      </w:r>
      <w:r>
        <w:rPr>
          <w:rFonts w:ascii="仿宋_GB2312" w:eastAsia="仿宋_GB2312"/>
          <w:color w:val="000000"/>
          <w:sz w:val="32"/>
          <w:szCs w:val="32"/>
        </w:rPr>
        <w:t>服务规范和医疗卫生常规</w:t>
      </w:r>
      <w:r>
        <w:rPr>
          <w:rFonts w:hint="eastAsia" w:ascii="仿宋_GB2312" w:eastAsia="仿宋_GB2312"/>
          <w:color w:val="000000"/>
          <w:sz w:val="32"/>
          <w:szCs w:val="32"/>
        </w:rPr>
        <w:t>，</w:t>
      </w:r>
      <w:r>
        <w:rPr>
          <w:rFonts w:ascii="仿宋_GB2312" w:eastAsia="仿宋_GB2312"/>
          <w:color w:val="000000"/>
          <w:sz w:val="32"/>
          <w:szCs w:val="32"/>
        </w:rPr>
        <w:t>切实做到合理检查</w:t>
      </w:r>
      <w:r>
        <w:rPr>
          <w:rFonts w:hint="eastAsia" w:ascii="仿宋_GB2312" w:eastAsia="仿宋_GB2312"/>
          <w:color w:val="000000"/>
          <w:sz w:val="32"/>
          <w:szCs w:val="32"/>
        </w:rPr>
        <w:t>、</w:t>
      </w:r>
      <w:r>
        <w:rPr>
          <w:rFonts w:ascii="仿宋_GB2312" w:eastAsia="仿宋_GB2312"/>
          <w:color w:val="000000"/>
          <w:sz w:val="32"/>
          <w:szCs w:val="32"/>
        </w:rPr>
        <w:t>合理治疗</w:t>
      </w:r>
      <w:r>
        <w:rPr>
          <w:rFonts w:hint="eastAsia" w:ascii="仿宋_GB2312" w:eastAsia="仿宋_GB2312"/>
          <w:color w:val="000000"/>
          <w:sz w:val="32"/>
          <w:szCs w:val="32"/>
        </w:rPr>
        <w:t>、</w:t>
      </w:r>
      <w:r>
        <w:rPr>
          <w:rFonts w:ascii="仿宋_GB2312" w:eastAsia="仿宋_GB2312"/>
          <w:color w:val="000000"/>
          <w:sz w:val="32"/>
          <w:szCs w:val="32"/>
        </w:rPr>
        <w:t>合理用药</w:t>
      </w:r>
      <w:r>
        <w:rPr>
          <w:rFonts w:hint="eastAsia" w:ascii="仿宋_GB2312" w:eastAsia="仿宋_GB2312"/>
          <w:color w:val="000000"/>
          <w:sz w:val="32"/>
          <w:szCs w:val="32"/>
        </w:rPr>
        <w:t>、</w:t>
      </w:r>
      <w:r>
        <w:rPr>
          <w:rFonts w:ascii="仿宋_GB2312" w:eastAsia="仿宋_GB2312"/>
          <w:color w:val="000000"/>
          <w:sz w:val="32"/>
          <w:szCs w:val="32"/>
        </w:rPr>
        <w:t>合理用材</w:t>
      </w:r>
      <w:r>
        <w:rPr>
          <w:rFonts w:hint="eastAsia" w:ascii="仿宋_GB2312" w:eastAsia="仿宋_GB2312"/>
          <w:color w:val="000000"/>
          <w:sz w:val="32"/>
          <w:szCs w:val="32"/>
        </w:rPr>
        <w:t>、</w:t>
      </w:r>
      <w:r>
        <w:rPr>
          <w:rFonts w:ascii="仿宋_GB2312" w:eastAsia="仿宋_GB2312"/>
          <w:color w:val="000000"/>
          <w:sz w:val="32"/>
          <w:szCs w:val="32"/>
        </w:rPr>
        <w:t>合理收费。</w:t>
      </w:r>
      <w:r>
        <w:rPr>
          <w:rStyle w:val="54"/>
          <w:rFonts w:hint="default"/>
        </w:rPr>
        <w:t>对工伤职工治疗非工伤疾病所发生的费用、符合出院条件拒不出院继续发生的费用、医疗就诊中发生的超标准超目录范围和不符合诊疗常规的医疗费用，及其他违反工伤保险有关规定的费用，工伤保险基金不予支付。</w:t>
      </w:r>
    </w:p>
    <w:p>
      <w:pPr>
        <w:spacing w:line="560" w:lineRule="exact"/>
        <w:ind w:firstLine="640" w:firstLineChars="200"/>
        <w:rPr>
          <w:rStyle w:val="54"/>
          <w:rFonts w:hint="default"/>
        </w:rPr>
      </w:pPr>
      <w:r>
        <w:rPr>
          <w:rFonts w:hint="eastAsia" w:ascii="黑体" w:hAnsi="黑体" w:eastAsia="黑体" w:cs="黑体"/>
          <w:color w:val="000000"/>
          <w:sz w:val="32"/>
          <w:szCs w:val="32"/>
        </w:rPr>
        <w:t>第五十七条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没有终结工伤保险关系、长期居住（工作）在自治区以外且有医疗依赖的工伤职工，需按照参保地相关规定，备案后在居住（工作）地工伤保险协议机构进行治疗。工伤职工通过公共服务系统、我的宁夏手机APP或线下等方式向</w:t>
      </w:r>
      <w:r>
        <w:rPr>
          <w:rFonts w:ascii="仿宋_GB2312" w:hAnsi="仿宋_GB2312" w:eastAsia="仿宋_GB2312" w:cs="仿宋_GB2312"/>
          <w:color w:val="000000"/>
          <w:sz w:val="32"/>
          <w:szCs w:val="32"/>
        </w:rPr>
        <w:t>参保地经办机构提出</w:t>
      </w:r>
      <w:r>
        <w:rPr>
          <w:rFonts w:hint="eastAsia" w:ascii="仿宋_GB2312" w:hAnsi="仿宋_GB2312" w:eastAsia="仿宋_GB2312" w:cs="仿宋_GB2312"/>
          <w:color w:val="000000"/>
          <w:sz w:val="32"/>
          <w:szCs w:val="32"/>
        </w:rPr>
        <w:t>工伤职工异地就医申请</w:t>
      </w:r>
      <w:r>
        <w:rPr>
          <w:rFonts w:hint="eastAsia" w:ascii="仿宋_GB2312" w:hAnsi="仿宋_GB2312" w:eastAsia="仿宋_GB2312" w:cs="仿宋_GB2312"/>
          <w:color w:val="000000"/>
          <w:sz w:val="32"/>
          <w:szCs w:val="32"/>
          <w:vertAlign w:val="superscript"/>
        </w:rPr>
        <w:t>10</w:t>
      </w:r>
      <w:r>
        <w:rPr>
          <w:rFonts w:hint="eastAsia" w:ascii="仿宋_GB2312" w:hAnsi="仿宋_GB2312" w:eastAsia="仿宋_GB2312" w:cs="仿宋_GB2312"/>
          <w:color w:val="000000"/>
          <w:sz w:val="32"/>
          <w:szCs w:val="32"/>
        </w:rPr>
        <w:t>，</w:t>
      </w:r>
      <w:r>
        <w:rPr>
          <w:rFonts w:ascii="仿宋_GB2312" w:hAnsi="仿宋_GB2312" w:eastAsia="仿宋_GB2312" w:cs="仿宋_GB2312"/>
          <w:sz w:val="32"/>
          <w:szCs w:val="32"/>
        </w:rPr>
        <w:t>提</w:t>
      </w:r>
      <w:r>
        <w:rPr>
          <w:rFonts w:hint="eastAsia" w:ascii="仿宋_GB2312" w:hAnsi="仿宋_GB2312" w:eastAsia="仿宋_GB2312" w:cs="仿宋_GB2312"/>
          <w:sz w:val="32"/>
          <w:szCs w:val="32"/>
        </w:rPr>
        <w:t>交</w:t>
      </w:r>
      <w:r>
        <w:rPr>
          <w:rFonts w:ascii="Times New Roman" w:hAnsi="Times New Roman" w:eastAsia="仿宋_GB2312"/>
          <w:color w:val="000000"/>
          <w:sz w:val="32"/>
          <w:szCs w:val="32"/>
        </w:rPr>
        <w:t>《工伤保险跨省异地就医备案</w:t>
      </w:r>
      <w:r>
        <w:rPr>
          <w:rFonts w:hint="eastAsia" w:ascii="仿宋_GB2312" w:hAnsi="Times New Roman" w:eastAsia="仿宋_GB2312"/>
          <w:color w:val="000000"/>
          <w:sz w:val="32"/>
          <w:szCs w:val="32"/>
        </w:rPr>
        <w:t>表》（</w:t>
      </w:r>
      <w:r>
        <w:rPr>
          <w:rFonts w:ascii="仿宋_GB2312" w:hAnsi="Times New Roman" w:eastAsia="仿宋_GB2312"/>
          <w:color w:val="000000"/>
          <w:sz w:val="32"/>
          <w:szCs w:val="32"/>
        </w:rPr>
        <w:t>附件</w:t>
      </w:r>
      <w:r>
        <w:rPr>
          <w:rFonts w:hint="eastAsia" w:ascii="仿宋_GB2312" w:hAnsi="Times New Roman" w:eastAsia="仿宋_GB2312"/>
          <w:color w:val="000000"/>
          <w:sz w:val="32"/>
          <w:szCs w:val="32"/>
        </w:rPr>
        <w:t>5），</w:t>
      </w:r>
      <w:r>
        <w:rPr>
          <w:rFonts w:hint="eastAsia" w:ascii="仿宋_GB2312" w:hAnsi="仿宋_GB2312" w:eastAsia="仿宋_GB2312" w:cs="仿宋_GB2312"/>
          <w:color w:val="000000"/>
          <w:sz w:val="32"/>
          <w:szCs w:val="32"/>
        </w:rPr>
        <w:t>经办机构应</w:t>
      </w:r>
      <w:r>
        <w:rPr>
          <w:rFonts w:ascii="仿宋_GB2312" w:hAnsi="仿宋_GB2312" w:eastAsia="仿宋_GB2312" w:cs="仿宋_GB2312"/>
          <w:color w:val="000000"/>
          <w:sz w:val="32"/>
          <w:szCs w:val="32"/>
        </w:rPr>
        <w:t>对工伤职工提出的</w:t>
      </w:r>
      <w:r>
        <w:rPr>
          <w:rFonts w:hint="eastAsia" w:ascii="仿宋_GB2312" w:hAnsi="仿宋_GB2312" w:eastAsia="仿宋_GB2312" w:cs="仿宋_GB2312"/>
          <w:color w:val="000000"/>
          <w:sz w:val="32"/>
          <w:szCs w:val="32"/>
        </w:rPr>
        <w:t>异地</w:t>
      </w:r>
      <w:r>
        <w:rPr>
          <w:rFonts w:ascii="仿宋_GB2312" w:hAnsi="仿宋_GB2312" w:eastAsia="仿宋_GB2312" w:cs="仿宋_GB2312"/>
          <w:color w:val="000000"/>
          <w:sz w:val="32"/>
          <w:szCs w:val="32"/>
        </w:rPr>
        <w:t>就医申请及时核准</w:t>
      </w:r>
      <w:r>
        <w:rPr>
          <w:rFonts w:hint="eastAsia" w:ascii="仿宋_GB2312" w:hAnsi="仿宋_GB2312" w:eastAsia="仿宋_GB2312" w:cs="仿宋_GB2312"/>
          <w:color w:val="000000"/>
          <w:sz w:val="32"/>
          <w:szCs w:val="32"/>
        </w:rPr>
        <w:t>，</w:t>
      </w:r>
      <w:r>
        <w:rPr>
          <w:rFonts w:hint="eastAsia" w:ascii="Times New Roman Regular" w:hAnsi="Times New Roman Regular" w:eastAsia="仿宋_GB2312" w:cs="Times New Roman Regular"/>
          <w:color w:val="000000"/>
          <w:sz w:val="32"/>
          <w:szCs w:val="32"/>
          <w:lang w:eastAsia="zh-Hans"/>
        </w:rPr>
        <w:t>将审核结果回传至全国</w:t>
      </w:r>
      <w:r>
        <w:rPr>
          <w:rFonts w:hint="eastAsia" w:ascii="Times New Roman Regular" w:hAnsi="Times New Roman Regular" w:eastAsia="仿宋_GB2312" w:cs="Times New Roman Regular"/>
          <w:color w:val="000000"/>
          <w:sz w:val="32"/>
          <w:szCs w:val="32"/>
        </w:rPr>
        <w:t>工伤保险异地就医结算信息</w:t>
      </w:r>
      <w:r>
        <w:rPr>
          <w:rFonts w:hint="eastAsia" w:ascii="Times New Roman Regular" w:hAnsi="Times New Roman Regular" w:eastAsia="仿宋_GB2312" w:cs="Times New Roman Regular"/>
          <w:color w:val="000000"/>
          <w:sz w:val="32"/>
          <w:szCs w:val="32"/>
          <w:lang w:eastAsia="zh-Hans"/>
        </w:rPr>
        <w:t>系统</w:t>
      </w:r>
      <w:r>
        <w:rPr>
          <w:rFonts w:hint="eastAsia" w:ascii="Times New Roman Regular" w:hAnsi="Times New Roman Regular" w:eastAsia="仿宋_GB2312" w:cs="Times New Roman Regular"/>
          <w:color w:val="000000"/>
          <w:sz w:val="32"/>
          <w:szCs w:val="32"/>
        </w:rPr>
        <w:t>备案</w:t>
      </w:r>
      <w:r>
        <w:rPr>
          <w:rFonts w:hint="eastAsia" w:ascii="Times New Roman Regular" w:hAnsi="Times New Roman Regular" w:eastAsia="仿宋_GB2312" w:cs="Times New Roman Regular"/>
          <w:color w:val="000000"/>
          <w:sz w:val="32"/>
          <w:szCs w:val="32"/>
          <w:lang w:eastAsia="zh-Hans"/>
        </w:rPr>
        <w:t>。</w:t>
      </w:r>
      <w:r>
        <w:rPr>
          <w:rStyle w:val="54"/>
          <w:rFonts w:hint="default"/>
        </w:rPr>
        <w:t>异地长期居住（工作）备案人员伙食补助费执行自治区内标准。</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第五十八条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建立合理的转诊转院就医机制，引导参保人员有序就医。工伤职工原则上应在区内工伤保险协议机构就医，如因伤情需要到自治区以外的协议医疗机构就医，应由工伤职工本人、其近亲属或者用人单位提出转诊转院申请，</w:t>
      </w:r>
      <w:r>
        <w:rPr>
          <w:rFonts w:hint="eastAsia" w:ascii="Times New Roman Regular" w:hAnsi="Times New Roman Regular" w:eastAsia="仿宋_GB2312" w:cs="Times New Roman Regular"/>
          <w:color w:val="000000"/>
          <w:sz w:val="32"/>
          <w:szCs w:val="32"/>
        </w:rPr>
        <w:t>在</w:t>
      </w:r>
      <w:r>
        <w:rPr>
          <w:rFonts w:hint="eastAsia" w:ascii="Times New Roman Regular" w:hAnsi="Times New Roman Regular" w:eastAsia="仿宋_GB2312" w:cs="Times New Roman Regular"/>
          <w:color w:val="000000"/>
          <w:sz w:val="32"/>
          <w:szCs w:val="32"/>
          <w:lang w:eastAsia="zh-Hans"/>
        </w:rPr>
        <w:t>区</w:t>
      </w:r>
      <w:r>
        <w:rPr>
          <w:rFonts w:ascii="Times New Roman Regular" w:hAnsi="Times New Roman Regular" w:eastAsia="仿宋_GB2312" w:cs="Times New Roman Regular"/>
          <w:color w:val="000000"/>
          <w:sz w:val="32"/>
          <w:szCs w:val="32"/>
          <w:lang w:eastAsia="zh-Hans"/>
        </w:rPr>
        <w:t>内</w:t>
      </w:r>
      <w:r>
        <w:rPr>
          <w:rFonts w:hint="eastAsia" w:ascii="Times New Roman Regular" w:hAnsi="Times New Roman Regular" w:eastAsia="仿宋_GB2312" w:cs="Times New Roman Regular"/>
          <w:color w:val="000000"/>
          <w:sz w:val="32"/>
          <w:szCs w:val="32"/>
        </w:rPr>
        <w:t>二甲及以上</w:t>
      </w:r>
      <w:r>
        <w:rPr>
          <w:rFonts w:hint="eastAsia" w:ascii="Times New Roman Regular" w:hAnsi="Times New Roman Regular" w:eastAsia="仿宋_GB2312" w:cs="Times New Roman Regular"/>
          <w:color w:val="000000"/>
          <w:sz w:val="32"/>
          <w:szCs w:val="32"/>
          <w:lang w:eastAsia="zh-Hans"/>
        </w:rPr>
        <w:t>协议</w:t>
      </w:r>
      <w:r>
        <w:rPr>
          <w:rFonts w:hint="eastAsia" w:ascii="Times New Roman Regular" w:hAnsi="Times New Roman Regular" w:eastAsia="仿宋_GB2312" w:cs="Times New Roman Regular"/>
          <w:color w:val="000000"/>
          <w:sz w:val="32"/>
          <w:szCs w:val="32"/>
        </w:rPr>
        <w:t>医疗</w:t>
      </w:r>
      <w:r>
        <w:rPr>
          <w:rFonts w:hint="eastAsia" w:ascii="Times New Roman Regular" w:hAnsi="Times New Roman Regular" w:eastAsia="仿宋_GB2312" w:cs="Times New Roman Regular"/>
          <w:color w:val="000000"/>
          <w:sz w:val="32"/>
          <w:szCs w:val="32"/>
          <w:lang w:eastAsia="zh-Hans"/>
        </w:rPr>
        <w:t>机构通过</w:t>
      </w:r>
      <w:r>
        <w:rPr>
          <w:rFonts w:hint="eastAsia" w:ascii="Times New Roman Regular" w:hAnsi="Times New Roman Regular" w:eastAsia="仿宋_GB2312" w:cs="Times New Roman Regular"/>
          <w:color w:val="000000"/>
          <w:sz w:val="32"/>
          <w:szCs w:val="32"/>
        </w:rPr>
        <w:t>公共服务</w:t>
      </w:r>
      <w:r>
        <w:rPr>
          <w:rFonts w:hint="eastAsia" w:ascii="Times New Roman Regular" w:hAnsi="Times New Roman Regular" w:eastAsia="仿宋_GB2312" w:cs="Times New Roman Regular"/>
          <w:color w:val="000000"/>
          <w:sz w:val="32"/>
          <w:szCs w:val="32"/>
          <w:lang w:eastAsia="zh-Hans"/>
        </w:rPr>
        <w:t>系统办理</w:t>
      </w:r>
      <w:r>
        <w:rPr>
          <w:rFonts w:hint="eastAsia" w:ascii="Times New Roman Regular" w:hAnsi="Times New Roman Regular" w:eastAsia="仿宋_GB2312" w:cs="Times New Roman Regular"/>
          <w:color w:val="000000"/>
          <w:sz w:val="32"/>
          <w:szCs w:val="32"/>
        </w:rPr>
        <w:t>转院手续</w:t>
      </w:r>
      <w:r>
        <w:rPr>
          <w:rFonts w:hint="eastAsia" w:ascii="Times New Roman Regular" w:hAnsi="Times New Roman Regular" w:eastAsia="仿宋_GB2312" w:cs="Times New Roman Regular"/>
          <w:color w:val="000000"/>
          <w:sz w:val="32"/>
          <w:szCs w:val="32"/>
          <w:lang w:eastAsia="zh-Hans"/>
        </w:rPr>
        <w:t>，</w:t>
      </w:r>
      <w:r>
        <w:rPr>
          <w:rFonts w:hint="eastAsia" w:ascii="Times New Roman Regular" w:hAnsi="Times New Roman Regular" w:eastAsia="仿宋_GB2312" w:cs="Times New Roman Regular"/>
          <w:color w:val="000000"/>
          <w:sz w:val="32"/>
          <w:szCs w:val="32"/>
        </w:rPr>
        <w:t>转至区外二级及以上协议医疗机构，转院</w:t>
      </w:r>
      <w:r>
        <w:rPr>
          <w:rFonts w:ascii="Times New Roman Regular" w:hAnsi="Times New Roman Regular" w:eastAsia="仿宋_GB2312" w:cs="Times New Roman Regular"/>
          <w:color w:val="000000"/>
          <w:sz w:val="32"/>
          <w:szCs w:val="32"/>
          <w:lang w:eastAsia="zh-Hans"/>
        </w:rPr>
        <w:t>信息</w:t>
      </w:r>
      <w:r>
        <w:rPr>
          <w:rFonts w:hint="eastAsia" w:ascii="Times New Roman Regular" w:hAnsi="Times New Roman Regular" w:eastAsia="仿宋_GB2312" w:cs="Times New Roman Regular"/>
          <w:color w:val="000000"/>
          <w:sz w:val="32"/>
          <w:szCs w:val="32"/>
        </w:rPr>
        <w:t>同步</w:t>
      </w:r>
      <w:r>
        <w:rPr>
          <w:rFonts w:hint="eastAsia" w:ascii="Times New Roman Regular" w:hAnsi="Times New Roman Regular" w:eastAsia="仿宋_GB2312" w:cs="Times New Roman Regular"/>
          <w:color w:val="000000"/>
          <w:sz w:val="32"/>
          <w:szCs w:val="32"/>
          <w:lang w:eastAsia="zh-Hans"/>
        </w:rPr>
        <w:t>上</w:t>
      </w:r>
      <w:r>
        <w:rPr>
          <w:rFonts w:ascii="Times New Roman Regular" w:hAnsi="Times New Roman Regular" w:eastAsia="仿宋_GB2312" w:cs="Times New Roman Regular"/>
          <w:color w:val="000000"/>
          <w:sz w:val="32"/>
          <w:szCs w:val="32"/>
          <w:lang w:eastAsia="zh-Hans"/>
        </w:rPr>
        <w:t>传至</w:t>
      </w:r>
      <w:r>
        <w:rPr>
          <w:rFonts w:hint="eastAsia" w:ascii="Times New Roman Regular" w:hAnsi="Times New Roman Regular" w:eastAsia="仿宋_GB2312" w:cs="Times New Roman Regular"/>
          <w:color w:val="000000"/>
          <w:sz w:val="32"/>
          <w:szCs w:val="32"/>
          <w:lang w:eastAsia="zh-Hans"/>
        </w:rPr>
        <w:t>参保</w:t>
      </w:r>
      <w:r>
        <w:rPr>
          <w:rFonts w:ascii="Times New Roman Regular" w:hAnsi="Times New Roman Regular" w:eastAsia="仿宋_GB2312" w:cs="Times New Roman Regular"/>
          <w:color w:val="000000"/>
          <w:sz w:val="32"/>
          <w:szCs w:val="32"/>
          <w:lang w:eastAsia="zh-Hans"/>
        </w:rPr>
        <w:t>地经办机构</w:t>
      </w:r>
      <w:r>
        <w:rPr>
          <w:rFonts w:hint="eastAsia" w:ascii="Times New Roman Regular" w:hAnsi="Times New Roman Regular" w:eastAsia="仿宋_GB2312" w:cs="Times New Roman Regular"/>
          <w:color w:val="000000"/>
          <w:sz w:val="32"/>
          <w:szCs w:val="32"/>
        </w:rPr>
        <w:t>和</w:t>
      </w:r>
      <w:r>
        <w:rPr>
          <w:rFonts w:hint="eastAsia" w:ascii="Times New Roman Regular" w:hAnsi="Times New Roman Regular" w:eastAsia="仿宋_GB2312" w:cs="Times New Roman Regular"/>
          <w:color w:val="000000"/>
          <w:sz w:val="32"/>
          <w:szCs w:val="32"/>
          <w:lang w:eastAsia="zh-Hans"/>
        </w:rPr>
        <w:t>全国</w:t>
      </w:r>
      <w:r>
        <w:rPr>
          <w:rFonts w:hint="eastAsia" w:ascii="Times New Roman Regular" w:hAnsi="Times New Roman Regular" w:eastAsia="仿宋_GB2312" w:cs="Times New Roman Regular"/>
          <w:color w:val="000000"/>
          <w:sz w:val="32"/>
          <w:szCs w:val="32"/>
        </w:rPr>
        <w:t>工伤保险异地就医结算信息</w:t>
      </w:r>
      <w:r>
        <w:rPr>
          <w:rFonts w:hint="eastAsia" w:ascii="Times New Roman Regular" w:hAnsi="Times New Roman Regular" w:eastAsia="仿宋_GB2312" w:cs="Times New Roman Regular"/>
          <w:color w:val="000000"/>
          <w:sz w:val="32"/>
          <w:szCs w:val="32"/>
          <w:lang w:eastAsia="zh-Hans"/>
        </w:rPr>
        <w:t>系统</w:t>
      </w:r>
      <w:r>
        <w:rPr>
          <w:rFonts w:hint="eastAsia" w:ascii="Times New Roman Regular" w:hAnsi="Times New Roman Regular" w:eastAsia="仿宋_GB2312" w:cs="Times New Roman Regular"/>
          <w:color w:val="000000"/>
          <w:sz w:val="32"/>
          <w:szCs w:val="32"/>
        </w:rPr>
        <w:t>备案</w:t>
      </w:r>
      <w:r>
        <w:rPr>
          <w:rFonts w:hint="eastAsia" w:ascii="Times New Roman Regular" w:hAnsi="Times New Roman Regular" w:eastAsia="仿宋_GB2312" w:cs="Times New Roman Regular"/>
          <w:color w:val="000000"/>
          <w:sz w:val="32"/>
          <w:szCs w:val="32"/>
          <w:lang w:eastAsia="zh-Hans"/>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工伤职工未向协议机构申请转院备案，直接前往自治区外治疗发生的工伤医疗等费用，工伤保险基金不予支付。</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第五十九条</w:t>
      </w:r>
      <w:r>
        <w:rPr>
          <w:rFonts w:hint="eastAsia" w:ascii="仿宋_GB2312" w:hAnsi="仿宋_GB2312" w:eastAsia="仿宋_GB2312" w:cs="仿宋_GB2312"/>
          <w:b/>
          <w:bCs/>
          <w:color w:val="000000"/>
          <w:sz w:val="32"/>
          <w:szCs w:val="32"/>
        </w:rPr>
        <w:t xml:space="preserve"> </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职工旧伤复发，需由协议医疗机构出具旧伤复发诊断意见并确定治疗期限，对旧伤复发有争议的，协议医疗机构向职工发放《宁夏回族自治区旧伤复发就医确认表》（附件6），告知工伤职工通过线下或线上方式向出具工伤认定结论的人社部门所在地劳动能力鉴定委员会提起旧伤复发确认申请，并提供</w:t>
      </w:r>
      <w:r>
        <w:rPr>
          <w:rFonts w:ascii="Times New Roman" w:hAnsi="Times New Roman" w:eastAsia="仿宋_GB2312"/>
          <w:sz w:val="32"/>
          <w:szCs w:val="32"/>
        </w:rPr>
        <w:t>诊断证明、病</w:t>
      </w:r>
      <w:r>
        <w:rPr>
          <w:rFonts w:hint="eastAsia" w:ascii="Times New Roman" w:hAnsi="Times New Roman" w:eastAsia="仿宋_GB2312"/>
          <w:sz w:val="32"/>
          <w:szCs w:val="32"/>
        </w:rPr>
        <w:t>历等资料</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第六十条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工伤职工紧急情况下在非工伤保险协议机构治疗后，其在同一机构进行与当次工伤相关的延续治疗（如复诊、拆除内置材料等），所发生的符合规定的医疗费用由经办机构审核后可以进行零星报销。</w:t>
      </w:r>
    </w:p>
    <w:p>
      <w:pPr>
        <w:spacing w:line="560" w:lineRule="exact"/>
        <w:ind w:firstLine="640" w:firstLineChars="200"/>
        <w:rPr>
          <w:rFonts w:ascii="仿宋_GB2312" w:hAnsi="仿宋_GB2312" w:eastAsia="仿宋_GB2312" w:cs="仿宋_GB2312"/>
          <w:color w:val="000000"/>
          <w:kern w:val="0"/>
          <w:sz w:val="32"/>
          <w:szCs w:val="32"/>
          <w:lang w:bidi="ar"/>
        </w:rPr>
      </w:pPr>
      <w:r>
        <w:rPr>
          <w:rFonts w:ascii="仿宋_GB2312" w:hAnsi="仿宋_GB2312" w:eastAsia="仿宋_GB2312" w:cs="仿宋_GB2312"/>
          <w:color w:val="000000"/>
          <w:kern w:val="0"/>
          <w:sz w:val="32"/>
          <w:szCs w:val="32"/>
          <w:lang w:bidi="ar"/>
        </w:rPr>
        <w:t>工伤职工在非工伤保险协议机构进行非延续治疗</w:t>
      </w:r>
      <w:r>
        <w:rPr>
          <w:rFonts w:hint="eastAsia" w:ascii="仿宋_GB2312" w:hAnsi="仿宋_GB2312" w:eastAsia="仿宋_GB2312" w:cs="仿宋_GB2312"/>
          <w:color w:val="000000"/>
          <w:kern w:val="0"/>
          <w:sz w:val="32"/>
          <w:szCs w:val="32"/>
          <w:lang w:bidi="ar"/>
        </w:rPr>
        <w:t>、</w:t>
      </w:r>
      <w:r>
        <w:rPr>
          <w:rFonts w:ascii="仿宋_GB2312" w:hAnsi="仿宋_GB2312" w:eastAsia="仿宋_GB2312" w:cs="仿宋_GB2312"/>
          <w:color w:val="000000"/>
          <w:kern w:val="0"/>
          <w:sz w:val="32"/>
          <w:szCs w:val="32"/>
          <w:lang w:bidi="ar"/>
        </w:rPr>
        <w:t>康复或其他选择性医疗的，所发生的费用工伤保险基金不予支付。</w:t>
      </w:r>
    </w:p>
    <w:bookmarkEnd w:id="3"/>
    <w:bookmarkEnd w:id="5"/>
    <w:p>
      <w:pPr>
        <w:pStyle w:val="3"/>
        <w:spacing w:before="0" w:after="0" w:line="560" w:lineRule="exact"/>
        <w:jc w:val="center"/>
        <w:rPr>
          <w:rFonts w:ascii="宋体" w:hAnsi="宋体" w:eastAsia="宋体"/>
          <w:color w:val="000000"/>
          <w:szCs w:val="32"/>
        </w:rPr>
      </w:pPr>
    </w:p>
    <w:p>
      <w:pPr>
        <w:pStyle w:val="3"/>
        <w:spacing w:before="0" w:after="0" w:line="560" w:lineRule="exact"/>
        <w:jc w:val="center"/>
        <w:rPr>
          <w:rFonts w:ascii="宋体" w:hAnsi="宋体" w:eastAsia="宋体"/>
          <w:color w:val="000000"/>
          <w:szCs w:val="32"/>
        </w:rPr>
      </w:pPr>
      <w:r>
        <w:rPr>
          <w:rFonts w:hint="eastAsia" w:ascii="宋体" w:hAnsi="宋体" w:eastAsia="宋体"/>
          <w:color w:val="000000"/>
          <w:szCs w:val="32"/>
        </w:rPr>
        <w:t>第</w:t>
      </w:r>
      <w:r>
        <w:rPr>
          <w:rFonts w:ascii="宋体" w:hAnsi="宋体" w:eastAsia="宋体"/>
          <w:color w:val="000000"/>
          <w:szCs w:val="32"/>
        </w:rPr>
        <w:t>三节 工伤</w:t>
      </w:r>
      <w:r>
        <w:rPr>
          <w:rFonts w:hint="eastAsia" w:ascii="宋体" w:hAnsi="宋体" w:eastAsia="宋体"/>
          <w:color w:val="000000"/>
          <w:szCs w:val="32"/>
        </w:rPr>
        <w:t>就医即时结算</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Times New Roman Regular" w:hAnsi="Times New Roman Regular" w:eastAsia="仿宋_GB2312" w:cs="Times New Roman Regular"/>
          <w:color w:val="000000"/>
          <w:sz w:val="32"/>
          <w:szCs w:val="32"/>
        </w:rPr>
      </w:pPr>
      <w:r>
        <w:rPr>
          <w:rFonts w:hint="eastAsia" w:ascii="黑体" w:hAnsi="黑体" w:eastAsia="黑体" w:cs="黑体"/>
          <w:color w:val="000000"/>
          <w:sz w:val="32"/>
          <w:szCs w:val="32"/>
        </w:rPr>
        <w:t>第六十一条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color w:val="000000"/>
          <w:sz w:val="32"/>
          <w:szCs w:val="32"/>
        </w:rPr>
        <w:t>自</w:t>
      </w:r>
      <w:r>
        <w:rPr>
          <w:rFonts w:ascii="仿宋_GB2312" w:hAnsi="仿宋_GB2312" w:eastAsia="仿宋_GB2312" w:cs="仿宋_GB2312"/>
          <w:bCs/>
          <w:color w:val="000000"/>
          <w:sz w:val="32"/>
          <w:szCs w:val="32"/>
        </w:rPr>
        <w:t>治</w:t>
      </w:r>
      <w:r>
        <w:rPr>
          <w:rFonts w:hint="eastAsia" w:ascii="仿宋_GB2312" w:hAnsi="仿宋_GB2312" w:eastAsia="仿宋_GB2312" w:cs="仿宋_GB2312"/>
          <w:bCs/>
          <w:color w:val="000000"/>
          <w:sz w:val="32"/>
          <w:szCs w:val="32"/>
        </w:rPr>
        <w:t>区</w:t>
      </w:r>
      <w:r>
        <w:rPr>
          <w:rFonts w:ascii="仿宋_GB2312" w:hAnsi="仿宋_GB2312" w:eastAsia="仿宋_GB2312" w:cs="仿宋_GB2312"/>
          <w:bCs/>
          <w:color w:val="000000"/>
          <w:sz w:val="32"/>
          <w:szCs w:val="32"/>
        </w:rPr>
        <w:t>内就医</w:t>
      </w:r>
      <w:r>
        <w:rPr>
          <w:rFonts w:hint="eastAsia" w:ascii="仿宋_GB2312" w:hAnsi="仿宋_GB2312" w:eastAsia="仿宋_GB2312" w:cs="仿宋_GB2312"/>
          <w:bCs/>
          <w:color w:val="000000"/>
          <w:sz w:val="32"/>
          <w:szCs w:val="32"/>
        </w:rPr>
        <w:t>实行即时结算</w:t>
      </w:r>
      <w:r>
        <w:rPr>
          <w:rFonts w:ascii="仿宋_GB2312" w:hAnsi="仿宋_GB2312" w:eastAsia="仿宋_GB2312" w:cs="仿宋_GB2312"/>
          <w:bCs/>
          <w:color w:val="000000"/>
          <w:sz w:val="32"/>
          <w:szCs w:val="32"/>
        </w:rPr>
        <w:t>。</w:t>
      </w:r>
      <w:r>
        <w:rPr>
          <w:rFonts w:hint="eastAsia" w:ascii="Times New Roman Regular" w:hAnsi="Times New Roman Regular" w:eastAsia="仿宋_GB2312" w:cs="Times New Roman Regular"/>
          <w:color w:val="000000"/>
          <w:sz w:val="32"/>
          <w:szCs w:val="32"/>
        </w:rPr>
        <w:t>按规定参加我</w:t>
      </w:r>
      <w:r>
        <w:rPr>
          <w:rFonts w:ascii="Times New Roman Regular" w:hAnsi="Times New Roman Regular" w:eastAsia="仿宋_GB2312" w:cs="Times New Roman Regular"/>
          <w:color w:val="000000"/>
          <w:sz w:val="32"/>
          <w:szCs w:val="32"/>
        </w:rPr>
        <w:t>区</w:t>
      </w:r>
      <w:r>
        <w:rPr>
          <w:rFonts w:hint="eastAsia" w:ascii="Times New Roman Regular" w:hAnsi="Times New Roman Regular" w:eastAsia="仿宋_GB2312" w:cs="Times New Roman Regular"/>
          <w:color w:val="000000"/>
          <w:sz w:val="32"/>
          <w:szCs w:val="32"/>
        </w:rPr>
        <w:t>工伤保险的工伤职工，持社会保障卡在自</w:t>
      </w:r>
      <w:r>
        <w:rPr>
          <w:rFonts w:ascii="Times New Roman Regular" w:hAnsi="Times New Roman Regular" w:eastAsia="仿宋_GB2312" w:cs="Times New Roman Regular"/>
          <w:color w:val="000000"/>
          <w:sz w:val="32"/>
          <w:szCs w:val="32"/>
        </w:rPr>
        <w:t>治区</w:t>
      </w:r>
      <w:r>
        <w:rPr>
          <w:rFonts w:hint="eastAsia" w:ascii="Times New Roman Regular" w:hAnsi="Times New Roman Regular" w:eastAsia="仿宋_GB2312" w:cs="Times New Roman Regular"/>
          <w:color w:val="000000"/>
          <w:sz w:val="32"/>
          <w:szCs w:val="32"/>
        </w:rPr>
        <w:t>范围</w:t>
      </w:r>
      <w:r>
        <w:rPr>
          <w:rFonts w:ascii="Times New Roman Regular" w:hAnsi="Times New Roman Regular" w:eastAsia="仿宋_GB2312" w:cs="Times New Roman Regular"/>
          <w:color w:val="000000"/>
          <w:sz w:val="32"/>
          <w:szCs w:val="32"/>
        </w:rPr>
        <w:t>内</w:t>
      </w:r>
      <w:r>
        <w:rPr>
          <w:rFonts w:hint="eastAsia" w:ascii="Times New Roman Regular" w:hAnsi="Times New Roman Regular" w:eastAsia="仿宋_GB2312" w:cs="Times New Roman Regular"/>
          <w:color w:val="000000"/>
          <w:sz w:val="32"/>
          <w:szCs w:val="32"/>
        </w:rPr>
        <w:t>工伤保险协议机构发生的工伤保险保障范围内的费用，属于工伤保险基金支付的部分，就医地经办机构与协议机构联网结算，</w:t>
      </w:r>
      <w:r>
        <w:rPr>
          <w:rFonts w:ascii="Times New Roman Regular" w:hAnsi="Times New Roman Regular" w:eastAsia="仿宋_GB2312" w:cs="Times New Roman Regular"/>
          <w:color w:val="000000"/>
          <w:sz w:val="32"/>
          <w:szCs w:val="32"/>
        </w:rPr>
        <w:t>即</w:t>
      </w:r>
      <w:r>
        <w:rPr>
          <w:rFonts w:hint="eastAsia" w:ascii="仿宋_GB2312" w:hAnsi="仿宋" w:eastAsia="仿宋_GB2312" w:cs="宋体"/>
          <w:color w:val="000000"/>
          <w:kern w:val="0"/>
          <w:sz w:val="32"/>
          <w:szCs w:val="32"/>
        </w:rPr>
        <w:t>由协议</w:t>
      </w:r>
      <w:r>
        <w:rPr>
          <w:rFonts w:ascii="仿宋_GB2312" w:hAnsi="仿宋" w:eastAsia="仿宋_GB2312" w:cs="宋体"/>
          <w:color w:val="000000"/>
          <w:kern w:val="0"/>
          <w:sz w:val="32"/>
          <w:szCs w:val="32"/>
        </w:rPr>
        <w:t>机构记账</w:t>
      </w:r>
      <w:r>
        <w:rPr>
          <w:rFonts w:hint="eastAsia" w:ascii="仿宋_GB2312" w:hAnsi="仿宋" w:eastAsia="仿宋_GB2312" w:cs="宋体"/>
          <w:color w:val="000000"/>
          <w:kern w:val="0"/>
          <w:sz w:val="32"/>
          <w:szCs w:val="32"/>
        </w:rPr>
        <w:t>，定期</w:t>
      </w:r>
      <w:r>
        <w:rPr>
          <w:rFonts w:ascii="仿宋_GB2312" w:hAnsi="仿宋" w:eastAsia="仿宋_GB2312" w:cs="宋体"/>
          <w:color w:val="000000"/>
          <w:kern w:val="0"/>
          <w:sz w:val="32"/>
          <w:szCs w:val="32"/>
        </w:rPr>
        <w:t>与</w:t>
      </w:r>
      <w:r>
        <w:rPr>
          <w:rFonts w:hint="eastAsia" w:ascii="Times New Roman Regular" w:hAnsi="Times New Roman Regular" w:eastAsia="仿宋_GB2312" w:cs="Times New Roman Regular"/>
          <w:color w:val="000000"/>
          <w:sz w:val="32"/>
          <w:szCs w:val="32"/>
        </w:rPr>
        <w:t>就医地</w:t>
      </w:r>
      <w:r>
        <w:rPr>
          <w:rFonts w:hint="eastAsia" w:ascii="仿宋_GB2312" w:hAnsi="仿宋" w:eastAsia="仿宋_GB2312" w:cs="宋体"/>
          <w:color w:val="000000"/>
          <w:kern w:val="0"/>
          <w:sz w:val="32"/>
          <w:szCs w:val="32"/>
        </w:rPr>
        <w:t>经办机构</w:t>
      </w:r>
      <w:r>
        <w:rPr>
          <w:rFonts w:ascii="仿宋_GB2312" w:hAnsi="仿宋" w:eastAsia="仿宋_GB2312" w:cs="宋体"/>
          <w:color w:val="000000"/>
          <w:kern w:val="0"/>
          <w:sz w:val="32"/>
          <w:szCs w:val="32"/>
        </w:rPr>
        <w:t>结算</w:t>
      </w:r>
      <w:r>
        <w:rPr>
          <w:rFonts w:hint="eastAsia" w:ascii="仿宋_GB2312" w:hAnsi="仿宋" w:eastAsia="仿宋_GB2312" w:cs="宋体"/>
          <w:color w:val="000000"/>
          <w:kern w:val="0"/>
          <w:sz w:val="32"/>
          <w:szCs w:val="32"/>
        </w:rPr>
        <w:t>，个</w:t>
      </w:r>
      <w:r>
        <w:rPr>
          <w:rFonts w:ascii="仿宋_GB2312" w:hAnsi="仿宋" w:eastAsia="仿宋_GB2312" w:cs="宋体"/>
          <w:color w:val="000000"/>
          <w:kern w:val="0"/>
          <w:sz w:val="32"/>
          <w:szCs w:val="32"/>
        </w:rPr>
        <w:t>人</w:t>
      </w:r>
      <w:r>
        <w:rPr>
          <w:rFonts w:hint="eastAsia" w:ascii="仿宋_GB2312" w:hAnsi="仿宋" w:eastAsia="仿宋_GB2312" w:cs="宋体"/>
          <w:color w:val="000000"/>
          <w:kern w:val="0"/>
          <w:sz w:val="32"/>
          <w:szCs w:val="32"/>
        </w:rPr>
        <w:t>支付应</w:t>
      </w:r>
      <w:r>
        <w:rPr>
          <w:rFonts w:ascii="仿宋_GB2312" w:hAnsi="仿宋" w:eastAsia="仿宋_GB2312" w:cs="宋体"/>
          <w:color w:val="000000"/>
          <w:kern w:val="0"/>
          <w:sz w:val="32"/>
          <w:szCs w:val="32"/>
        </w:rPr>
        <w:t>由个人承担的</w:t>
      </w:r>
      <w:r>
        <w:rPr>
          <w:rFonts w:hint="eastAsia" w:ascii="仿宋_GB2312" w:hAnsi="仿宋" w:eastAsia="仿宋_GB2312" w:cs="宋体"/>
          <w:color w:val="000000"/>
          <w:kern w:val="0"/>
          <w:sz w:val="32"/>
          <w:szCs w:val="32"/>
        </w:rPr>
        <w:t>费用</w:t>
      </w:r>
      <w:r>
        <w:rPr>
          <w:rFonts w:hint="eastAsia" w:ascii="Times New Roman Regular" w:hAnsi="Times New Roman Regular" w:eastAsia="仿宋_GB2312" w:cs="Times New Roman Regular"/>
          <w:color w:val="000000"/>
          <w:sz w:val="32"/>
          <w:szCs w:val="32"/>
        </w:rPr>
        <w:t>。</w:t>
      </w:r>
    </w:p>
    <w:p>
      <w:pPr>
        <w:spacing w:line="560" w:lineRule="exact"/>
        <w:ind w:firstLine="640" w:firstLineChars="200"/>
        <w:rPr>
          <w:rFonts w:ascii="仿宋_GB2312" w:hAnsi="仿宋_GB2312" w:eastAsia="仿宋_GB2312" w:cs="仿宋_GB2312"/>
          <w:b/>
          <w:color w:val="000000"/>
          <w:kern w:val="0"/>
          <w:sz w:val="32"/>
          <w:szCs w:val="32"/>
          <w:lang w:bidi="ar"/>
        </w:rPr>
      </w:pPr>
      <w:r>
        <w:rPr>
          <w:rFonts w:hint="eastAsia" w:ascii="黑体" w:hAnsi="黑体" w:eastAsia="黑体" w:cs="黑体"/>
          <w:color w:val="000000"/>
          <w:sz w:val="32"/>
          <w:szCs w:val="32"/>
        </w:rPr>
        <w:t>第六十二条</w:t>
      </w:r>
      <w:r>
        <w:rPr>
          <w:rFonts w:ascii="黑体" w:hAnsi="黑体" w:eastAsia="黑体" w:cs="黑体"/>
          <w:color w:val="000000"/>
          <w:sz w:val="32"/>
          <w:szCs w:val="32"/>
        </w:rPr>
        <w:t xml:space="preserve"> </w:t>
      </w:r>
      <w:r>
        <w:rPr>
          <w:rFonts w:hint="eastAsia" w:ascii="Times New Roman Regular" w:hAnsi="Times New Roman Regular" w:eastAsia="仿宋_GB2312" w:cs="Times New Roman Regular"/>
          <w:color w:val="000000"/>
          <w:sz w:val="32"/>
          <w:szCs w:val="32"/>
        </w:rPr>
        <w:t>区内异地就医即时结算范围为异地工伤住院、康复费用以及异地签约协议机构发生的门诊费用。区内异地就医不享受交通费。</w:t>
      </w:r>
      <w:r>
        <w:rPr>
          <w:rFonts w:ascii="Times New Roman Regular" w:hAnsi="Times New Roman Regular" w:eastAsia="仿宋_GB2312" w:cs="Times New Roman Regular"/>
          <w:color w:val="000000"/>
          <w:sz w:val="32"/>
          <w:szCs w:val="32"/>
        </w:rPr>
        <w:t>跨省异地就医</w:t>
      </w:r>
      <w:r>
        <w:rPr>
          <w:rFonts w:hint="eastAsia" w:ascii="Times New Roman Regular" w:hAnsi="Times New Roman Regular" w:eastAsia="仿宋_GB2312" w:cs="Times New Roman Regular"/>
          <w:color w:val="000000"/>
          <w:sz w:val="32"/>
          <w:szCs w:val="32"/>
        </w:rPr>
        <w:t>直接</w:t>
      </w:r>
      <w:r>
        <w:rPr>
          <w:rFonts w:ascii="Times New Roman Regular" w:hAnsi="Times New Roman Regular" w:eastAsia="仿宋_GB2312" w:cs="Times New Roman Regular"/>
          <w:color w:val="000000"/>
          <w:sz w:val="32"/>
          <w:szCs w:val="32"/>
        </w:rPr>
        <w:t>结算实现后</w:t>
      </w:r>
      <w:r>
        <w:rPr>
          <w:rFonts w:hint="eastAsia" w:ascii="Times New Roman Regular" w:hAnsi="Times New Roman Regular" w:eastAsia="仿宋_GB2312" w:cs="Times New Roman Regular"/>
          <w:color w:val="000000"/>
          <w:sz w:val="32"/>
          <w:szCs w:val="32"/>
        </w:rPr>
        <w:t>，经备案登记程序转自治区外就医、康复、配置辅助器具的</w:t>
      </w:r>
      <w:r>
        <w:rPr>
          <w:rFonts w:ascii="Times New Roman Regular" w:hAnsi="Times New Roman Regular" w:eastAsia="仿宋_GB2312" w:cs="Times New Roman Regular"/>
          <w:color w:val="000000"/>
          <w:sz w:val="32"/>
          <w:szCs w:val="32"/>
        </w:rPr>
        <w:t>按照</w:t>
      </w:r>
      <w:r>
        <w:rPr>
          <w:rFonts w:hint="eastAsia" w:ascii="Times New Roman Regular" w:hAnsi="Times New Roman Regular" w:eastAsia="仿宋_GB2312" w:cs="Times New Roman Regular"/>
          <w:color w:val="000000"/>
          <w:sz w:val="32"/>
          <w:szCs w:val="32"/>
        </w:rPr>
        <w:t>跨省</w:t>
      </w:r>
      <w:r>
        <w:rPr>
          <w:rFonts w:ascii="Times New Roman Regular" w:hAnsi="Times New Roman Regular" w:eastAsia="仿宋_GB2312" w:cs="Times New Roman Regular"/>
          <w:color w:val="000000"/>
          <w:sz w:val="32"/>
          <w:szCs w:val="32"/>
        </w:rPr>
        <w:t>异地就医直接结算相关</w:t>
      </w:r>
      <w:r>
        <w:rPr>
          <w:rFonts w:hint="eastAsia" w:ascii="Times New Roman Regular" w:hAnsi="Times New Roman Regular" w:eastAsia="仿宋_GB2312" w:cs="Times New Roman Regular"/>
          <w:color w:val="000000"/>
          <w:sz w:val="32"/>
          <w:szCs w:val="32"/>
        </w:rPr>
        <w:t>规定办理。</w:t>
      </w:r>
    </w:p>
    <w:p>
      <w:pPr>
        <w:spacing w:line="560" w:lineRule="exact"/>
        <w:ind w:firstLine="627" w:firstLineChars="196"/>
        <w:rPr>
          <w:rFonts w:ascii="仿宋_GB2312" w:hAnsi="仿宋" w:eastAsia="仿宋_GB2312" w:cs="宋体"/>
          <w:color w:val="000000"/>
          <w:kern w:val="0"/>
          <w:sz w:val="32"/>
          <w:szCs w:val="32"/>
        </w:rPr>
      </w:pPr>
      <w:r>
        <w:rPr>
          <w:rFonts w:hint="eastAsia" w:ascii="黑体" w:hAnsi="黑体" w:eastAsia="黑体" w:cs="黑体"/>
          <w:color w:val="000000"/>
          <w:sz w:val="32"/>
          <w:szCs w:val="32"/>
        </w:rPr>
        <w:t>第六十三条</w:t>
      </w:r>
      <w:r>
        <w:rPr>
          <w:rFonts w:ascii="黑体" w:hAnsi="黑体" w:eastAsia="黑体" w:cs="黑体"/>
          <w:color w:val="000000"/>
          <w:sz w:val="32"/>
          <w:szCs w:val="32"/>
        </w:rPr>
        <w:t xml:space="preserve"> </w:t>
      </w:r>
      <w:r>
        <w:rPr>
          <w:rFonts w:hint="eastAsia" w:ascii="Times New Roman Regular" w:hAnsi="Times New Roman Regular" w:eastAsia="仿宋_GB2312" w:cs="Times New Roman Regular"/>
          <w:color w:val="000000"/>
          <w:sz w:val="32"/>
          <w:szCs w:val="32"/>
        </w:rPr>
        <w:t>工</w:t>
      </w:r>
      <w:r>
        <w:rPr>
          <w:rFonts w:ascii="Times New Roman Regular" w:hAnsi="Times New Roman Regular" w:eastAsia="仿宋_GB2312" w:cs="Times New Roman Regular"/>
          <w:color w:val="000000"/>
          <w:sz w:val="32"/>
          <w:szCs w:val="32"/>
        </w:rPr>
        <w:t>伤职工</w:t>
      </w:r>
      <w:r>
        <w:rPr>
          <w:rFonts w:hint="eastAsia" w:ascii="Times New Roman Regular" w:hAnsi="Times New Roman Regular" w:eastAsia="仿宋_GB2312" w:cs="Times New Roman Regular"/>
          <w:color w:val="000000"/>
          <w:sz w:val="32"/>
          <w:szCs w:val="32"/>
        </w:rPr>
        <w:t>就医</w:t>
      </w:r>
      <w:r>
        <w:rPr>
          <w:rFonts w:ascii="Times New Roman Regular" w:hAnsi="Times New Roman Regular" w:eastAsia="仿宋_GB2312" w:cs="Times New Roman Regular"/>
          <w:color w:val="000000"/>
          <w:sz w:val="32"/>
          <w:szCs w:val="32"/>
        </w:rPr>
        <w:t>结算后，</w:t>
      </w:r>
      <w:r>
        <w:rPr>
          <w:rFonts w:hint="eastAsia" w:ascii="Times New Roman Regular" w:hAnsi="Times New Roman Regular" w:eastAsia="仿宋_GB2312" w:cs="Times New Roman Regular"/>
          <w:color w:val="000000"/>
          <w:sz w:val="32"/>
          <w:szCs w:val="32"/>
        </w:rPr>
        <w:t>协议机构向</w:t>
      </w:r>
      <w:r>
        <w:rPr>
          <w:rFonts w:ascii="Times New Roman Regular" w:hAnsi="Times New Roman Regular" w:eastAsia="仿宋_GB2312" w:cs="Times New Roman Regular"/>
          <w:color w:val="000000"/>
          <w:sz w:val="32"/>
          <w:szCs w:val="32"/>
        </w:rPr>
        <w:t>参保地经办机构</w:t>
      </w:r>
      <w:r>
        <w:rPr>
          <w:rFonts w:hint="eastAsia" w:ascii="Times New Roman Regular" w:hAnsi="Times New Roman Regular" w:eastAsia="仿宋_GB2312" w:cs="Times New Roman Regular"/>
          <w:color w:val="000000"/>
          <w:sz w:val="32"/>
          <w:szCs w:val="32"/>
        </w:rPr>
        <w:t>发起费用审核申请，</w:t>
      </w:r>
      <w:r>
        <w:rPr>
          <w:rFonts w:hint="eastAsia" w:ascii="仿宋_GB2312" w:hAnsi="仿宋" w:eastAsia="仿宋_GB2312" w:cs="宋体"/>
          <w:color w:val="000000"/>
          <w:kern w:val="0"/>
          <w:sz w:val="32"/>
          <w:szCs w:val="32"/>
        </w:rPr>
        <w:t>参</w:t>
      </w:r>
      <w:r>
        <w:rPr>
          <w:rFonts w:ascii="仿宋_GB2312" w:hAnsi="仿宋" w:eastAsia="仿宋_GB2312" w:cs="宋体"/>
          <w:color w:val="000000"/>
          <w:kern w:val="0"/>
          <w:sz w:val="32"/>
          <w:szCs w:val="32"/>
        </w:rPr>
        <w:t>保地经办机构</w:t>
      </w:r>
      <w:r>
        <w:rPr>
          <w:rFonts w:hint="eastAsia" w:ascii="仿宋_GB2312" w:hAnsi="仿宋" w:eastAsia="仿宋_GB2312" w:cs="宋体"/>
          <w:color w:val="000000"/>
          <w:kern w:val="0"/>
          <w:sz w:val="32"/>
          <w:szCs w:val="32"/>
        </w:rPr>
        <w:t>应在发起</w:t>
      </w:r>
      <w:r>
        <w:rPr>
          <w:rFonts w:ascii="仿宋_GB2312" w:hAnsi="仿宋" w:eastAsia="仿宋_GB2312" w:cs="宋体"/>
          <w:color w:val="000000"/>
          <w:kern w:val="0"/>
          <w:sz w:val="32"/>
          <w:szCs w:val="32"/>
        </w:rPr>
        <w:t>月度结束后10</w:t>
      </w:r>
      <w:r>
        <w:rPr>
          <w:rFonts w:hint="eastAsia" w:ascii="仿宋_GB2312" w:hAnsi="仿宋" w:eastAsia="仿宋_GB2312" w:cs="宋体"/>
          <w:color w:val="000000"/>
          <w:kern w:val="0"/>
          <w:sz w:val="32"/>
          <w:szCs w:val="32"/>
        </w:rPr>
        <w:t>个</w:t>
      </w:r>
      <w:r>
        <w:rPr>
          <w:rFonts w:ascii="仿宋_GB2312" w:hAnsi="仿宋" w:eastAsia="仿宋_GB2312" w:cs="宋体"/>
          <w:color w:val="000000"/>
          <w:kern w:val="0"/>
          <w:sz w:val="32"/>
          <w:szCs w:val="32"/>
        </w:rPr>
        <w:t>工作日内</w:t>
      </w:r>
      <w:r>
        <w:rPr>
          <w:rFonts w:hint="eastAsia" w:ascii="仿宋_GB2312" w:hAnsi="仿宋" w:eastAsia="仿宋_GB2312" w:cs="宋体"/>
          <w:color w:val="000000"/>
          <w:kern w:val="0"/>
          <w:sz w:val="32"/>
          <w:szCs w:val="32"/>
        </w:rPr>
        <w:t>完成</w:t>
      </w:r>
      <w:r>
        <w:rPr>
          <w:rFonts w:ascii="仿宋_GB2312" w:hAnsi="仿宋" w:eastAsia="仿宋_GB2312" w:cs="宋体"/>
          <w:color w:val="000000"/>
          <w:kern w:val="0"/>
          <w:sz w:val="32"/>
          <w:szCs w:val="32"/>
        </w:rPr>
        <w:t>对本地区参保职工</w:t>
      </w:r>
      <w:r>
        <w:rPr>
          <w:rFonts w:hint="eastAsia" w:ascii="仿宋_GB2312" w:hAnsi="仿宋" w:eastAsia="仿宋_GB2312" w:cs="宋体"/>
          <w:color w:val="000000"/>
          <w:kern w:val="0"/>
          <w:sz w:val="32"/>
          <w:szCs w:val="32"/>
        </w:rPr>
        <w:t>就医</w:t>
      </w:r>
      <w:r>
        <w:rPr>
          <w:rFonts w:ascii="仿宋_GB2312" w:hAnsi="仿宋" w:eastAsia="仿宋_GB2312" w:cs="宋体"/>
          <w:color w:val="000000"/>
          <w:kern w:val="0"/>
          <w:sz w:val="32"/>
          <w:szCs w:val="32"/>
        </w:rPr>
        <w:t>费用</w:t>
      </w:r>
      <w:r>
        <w:rPr>
          <w:rFonts w:hint="eastAsia" w:ascii="仿宋_GB2312" w:hAnsi="仿宋" w:eastAsia="仿宋_GB2312" w:cs="宋体"/>
          <w:color w:val="000000"/>
          <w:kern w:val="0"/>
          <w:sz w:val="32"/>
          <w:szCs w:val="32"/>
        </w:rPr>
        <w:t>的</w:t>
      </w:r>
      <w:r>
        <w:rPr>
          <w:rFonts w:ascii="仿宋_GB2312" w:hAnsi="仿宋" w:eastAsia="仿宋_GB2312" w:cs="宋体"/>
          <w:color w:val="000000"/>
          <w:kern w:val="0"/>
          <w:sz w:val="32"/>
          <w:szCs w:val="32"/>
        </w:rPr>
        <w:t>审核</w:t>
      </w:r>
      <w:r>
        <w:rPr>
          <w:rFonts w:hint="eastAsia" w:ascii="仿宋_GB2312" w:hAnsi="仿宋" w:eastAsia="仿宋_GB2312" w:cs="宋体"/>
          <w:color w:val="000000"/>
          <w:kern w:val="0"/>
          <w:sz w:val="32"/>
          <w:szCs w:val="32"/>
        </w:rPr>
        <w:t>，费用审核结果通过系统</w:t>
      </w:r>
      <w:r>
        <w:rPr>
          <w:rFonts w:ascii="仿宋_GB2312" w:hAnsi="仿宋" w:eastAsia="仿宋_GB2312" w:cs="宋体"/>
          <w:color w:val="000000"/>
          <w:kern w:val="0"/>
          <w:sz w:val="32"/>
          <w:szCs w:val="32"/>
        </w:rPr>
        <w:t>反馈</w:t>
      </w:r>
      <w:r>
        <w:rPr>
          <w:rFonts w:hint="eastAsia" w:ascii="仿宋_GB2312" w:hAnsi="仿宋" w:eastAsia="仿宋_GB2312" w:cs="宋体"/>
          <w:color w:val="000000"/>
          <w:kern w:val="0"/>
          <w:sz w:val="32"/>
          <w:szCs w:val="32"/>
        </w:rPr>
        <w:t>协议</w:t>
      </w:r>
      <w:r>
        <w:rPr>
          <w:rFonts w:ascii="仿宋_GB2312" w:hAnsi="仿宋" w:eastAsia="仿宋_GB2312" w:cs="宋体"/>
          <w:color w:val="000000"/>
          <w:kern w:val="0"/>
          <w:sz w:val="32"/>
          <w:szCs w:val="32"/>
        </w:rPr>
        <w:t>机构</w:t>
      </w:r>
      <w:r>
        <w:rPr>
          <w:rFonts w:hint="eastAsia" w:ascii="仿宋_GB2312" w:hAnsi="仿宋" w:eastAsia="仿宋_GB2312" w:cs="宋体"/>
          <w:color w:val="000000"/>
          <w:kern w:val="0"/>
          <w:sz w:val="32"/>
          <w:szCs w:val="32"/>
        </w:rPr>
        <w:t>。参保地经办机构通过系统生成《工伤保险</w:t>
      </w:r>
      <w:r>
        <w:rPr>
          <w:rFonts w:ascii="仿宋_GB2312" w:hAnsi="仿宋" w:eastAsia="仿宋_GB2312" w:cs="宋体"/>
          <w:color w:val="000000"/>
          <w:kern w:val="0"/>
          <w:sz w:val="32"/>
          <w:szCs w:val="32"/>
        </w:rPr>
        <w:t>住院伙食补助费</w:t>
      </w:r>
      <w:r>
        <w:rPr>
          <w:rFonts w:hint="eastAsia" w:ascii="仿宋_GB2312" w:hAnsi="仿宋" w:eastAsia="仿宋_GB2312" w:cs="宋体"/>
          <w:color w:val="000000"/>
          <w:kern w:val="0"/>
          <w:sz w:val="32"/>
          <w:szCs w:val="32"/>
        </w:rPr>
        <w:t>结算表》（</w:t>
      </w:r>
      <w:r>
        <w:rPr>
          <w:rFonts w:ascii="仿宋_GB2312" w:hAnsi="仿宋" w:eastAsia="仿宋_GB2312" w:cs="宋体"/>
          <w:color w:val="000000"/>
          <w:kern w:val="0"/>
          <w:sz w:val="32"/>
          <w:szCs w:val="32"/>
        </w:rPr>
        <w:t>附件</w:t>
      </w:r>
      <w:r>
        <w:rPr>
          <w:rFonts w:hint="eastAsia" w:ascii="仿宋_GB2312" w:hAnsi="仿宋" w:eastAsia="仿宋_GB2312" w:cs="宋体"/>
          <w:color w:val="000000"/>
          <w:kern w:val="0"/>
          <w:sz w:val="32"/>
          <w:szCs w:val="32"/>
        </w:rPr>
        <w:t>7），并</w:t>
      </w:r>
      <w:r>
        <w:rPr>
          <w:rFonts w:ascii="仿宋_GB2312" w:hAnsi="仿宋" w:eastAsia="仿宋_GB2312" w:cs="宋体"/>
          <w:color w:val="000000"/>
          <w:kern w:val="0"/>
          <w:sz w:val="32"/>
          <w:szCs w:val="32"/>
        </w:rPr>
        <w:t>及时</w:t>
      </w:r>
      <w:r>
        <w:rPr>
          <w:rFonts w:hint="eastAsia" w:ascii="仿宋_GB2312" w:hAnsi="仿宋" w:eastAsia="仿宋_GB2312" w:cs="宋体"/>
          <w:color w:val="000000"/>
          <w:kern w:val="0"/>
          <w:sz w:val="32"/>
          <w:szCs w:val="32"/>
        </w:rPr>
        <w:t>将</w:t>
      </w:r>
      <w:r>
        <w:rPr>
          <w:rFonts w:ascii="仿宋_GB2312" w:hAnsi="仿宋" w:eastAsia="仿宋_GB2312" w:cs="宋体"/>
          <w:color w:val="000000"/>
          <w:kern w:val="0"/>
          <w:sz w:val="32"/>
          <w:szCs w:val="32"/>
        </w:rPr>
        <w:t>住院伙食补助费</w:t>
      </w:r>
      <w:r>
        <w:rPr>
          <w:rFonts w:hint="eastAsia" w:ascii="仿宋_GB2312" w:hAnsi="仿宋" w:eastAsia="仿宋_GB2312" w:cs="宋体"/>
          <w:color w:val="000000"/>
          <w:kern w:val="0"/>
          <w:sz w:val="32"/>
          <w:szCs w:val="32"/>
        </w:rPr>
        <w:t>发放到工伤职工社</w:t>
      </w:r>
      <w:r>
        <w:rPr>
          <w:rFonts w:ascii="仿宋_GB2312" w:hAnsi="仿宋" w:eastAsia="仿宋_GB2312" w:cs="宋体"/>
          <w:color w:val="000000"/>
          <w:kern w:val="0"/>
          <w:sz w:val="32"/>
          <w:szCs w:val="32"/>
        </w:rPr>
        <w:t>会保障卡金融账户</w:t>
      </w:r>
      <w:r>
        <w:rPr>
          <w:rFonts w:hint="eastAsia" w:ascii="仿宋_GB2312" w:hAnsi="仿宋" w:eastAsia="仿宋_GB2312" w:cs="宋体"/>
          <w:color w:val="000000"/>
          <w:kern w:val="0"/>
          <w:sz w:val="32"/>
          <w:szCs w:val="32"/>
        </w:rPr>
        <w:t>。</w:t>
      </w:r>
    </w:p>
    <w:p>
      <w:pPr>
        <w:spacing w:line="560" w:lineRule="exact"/>
        <w:ind w:firstLine="627" w:firstLineChars="196"/>
        <w:rPr>
          <w:rFonts w:ascii="仿宋_GB2312" w:hAnsi="仿宋" w:eastAsia="仿宋_GB2312" w:cs="宋体"/>
          <w:color w:val="000000"/>
          <w:kern w:val="0"/>
          <w:sz w:val="32"/>
          <w:szCs w:val="32"/>
        </w:rPr>
      </w:pPr>
      <w:r>
        <w:rPr>
          <w:rFonts w:hint="eastAsia" w:ascii="黑体" w:hAnsi="黑体" w:eastAsia="黑体" w:cs="黑体"/>
          <w:color w:val="000000"/>
          <w:sz w:val="32"/>
          <w:szCs w:val="32"/>
        </w:rPr>
        <w:t>第六</w:t>
      </w:r>
      <w:r>
        <w:rPr>
          <w:rFonts w:ascii="黑体" w:hAnsi="黑体" w:eastAsia="黑体" w:cs="黑体"/>
          <w:color w:val="000000"/>
          <w:sz w:val="32"/>
          <w:szCs w:val="32"/>
        </w:rPr>
        <w:t>十</w:t>
      </w:r>
      <w:r>
        <w:rPr>
          <w:rFonts w:hint="eastAsia" w:ascii="黑体" w:hAnsi="黑体" w:eastAsia="黑体" w:cs="黑体"/>
          <w:color w:val="000000"/>
          <w:sz w:val="32"/>
          <w:szCs w:val="32"/>
        </w:rPr>
        <w:t>四</w:t>
      </w:r>
      <w:r>
        <w:rPr>
          <w:rFonts w:ascii="黑体" w:hAnsi="黑体" w:eastAsia="黑体" w:cs="黑体"/>
          <w:color w:val="000000"/>
          <w:sz w:val="32"/>
          <w:szCs w:val="32"/>
        </w:rPr>
        <w:t xml:space="preserve">条 </w:t>
      </w:r>
      <w:r>
        <w:rPr>
          <w:rFonts w:ascii="仿宋_GB2312" w:hAnsi="仿宋" w:eastAsia="仿宋_GB2312" w:cs="宋体"/>
          <w:color w:val="000000"/>
          <w:kern w:val="0"/>
          <w:sz w:val="32"/>
          <w:szCs w:val="32"/>
        </w:rPr>
        <w:t>审核</w:t>
      </w:r>
      <w:r>
        <w:rPr>
          <w:rFonts w:hint="eastAsia" w:ascii="仿宋_GB2312" w:hAnsi="仿宋" w:eastAsia="仿宋_GB2312" w:cs="宋体"/>
          <w:color w:val="000000"/>
          <w:kern w:val="0"/>
          <w:sz w:val="32"/>
          <w:szCs w:val="32"/>
        </w:rPr>
        <w:t>通过的</w:t>
      </w:r>
      <w:r>
        <w:rPr>
          <w:rFonts w:ascii="仿宋_GB2312" w:hAnsi="仿宋" w:eastAsia="仿宋_GB2312" w:cs="宋体"/>
          <w:color w:val="000000"/>
          <w:kern w:val="0"/>
          <w:sz w:val="32"/>
          <w:szCs w:val="32"/>
        </w:rPr>
        <w:t>就医费用，</w:t>
      </w:r>
      <w:r>
        <w:rPr>
          <w:rFonts w:hint="eastAsia" w:ascii="Times New Roman Regular" w:hAnsi="Times New Roman Regular" w:eastAsia="仿宋_GB2312" w:cs="Times New Roman Regular"/>
          <w:color w:val="000000"/>
          <w:sz w:val="32"/>
          <w:szCs w:val="32"/>
        </w:rPr>
        <w:t>协议机构可以人次为单位，按批次向</w:t>
      </w:r>
      <w:r>
        <w:rPr>
          <w:rFonts w:ascii="Times New Roman Regular" w:hAnsi="Times New Roman Regular" w:eastAsia="仿宋_GB2312" w:cs="Times New Roman Regular"/>
          <w:color w:val="000000"/>
          <w:sz w:val="32"/>
          <w:szCs w:val="32"/>
        </w:rPr>
        <w:t>就医地经办机构</w:t>
      </w:r>
      <w:r>
        <w:rPr>
          <w:rFonts w:hint="eastAsia" w:ascii="Times New Roman Regular" w:hAnsi="Times New Roman Regular" w:eastAsia="仿宋_GB2312" w:cs="Times New Roman Regular"/>
          <w:color w:val="000000"/>
          <w:sz w:val="32"/>
          <w:szCs w:val="32"/>
        </w:rPr>
        <w:t>发起费用结算申请，生成《工伤保险费用结算表》</w:t>
      </w:r>
      <w:r>
        <w:rPr>
          <w:rFonts w:hint="eastAsia" w:ascii="仿宋_GB2312" w:hAnsi="仿宋" w:eastAsia="仿宋_GB2312" w:cs="宋体"/>
          <w:color w:val="000000"/>
          <w:kern w:val="0"/>
          <w:sz w:val="32"/>
          <w:szCs w:val="32"/>
        </w:rPr>
        <w:t>（附件8）和《工伤保险费用结算明细表》（</w:t>
      </w:r>
      <w:r>
        <w:rPr>
          <w:rFonts w:ascii="仿宋_GB2312" w:hAnsi="仿宋" w:eastAsia="仿宋_GB2312" w:cs="宋体"/>
          <w:color w:val="000000"/>
          <w:kern w:val="0"/>
          <w:sz w:val="32"/>
          <w:szCs w:val="32"/>
        </w:rPr>
        <w:t>附件</w:t>
      </w:r>
      <w:r>
        <w:rPr>
          <w:rFonts w:hint="eastAsia" w:ascii="仿宋_GB2312" w:hAnsi="仿宋" w:eastAsia="仿宋_GB2312" w:cs="宋体"/>
          <w:color w:val="000000"/>
          <w:kern w:val="0"/>
          <w:sz w:val="32"/>
          <w:szCs w:val="32"/>
        </w:rPr>
        <w:t>9），就</w:t>
      </w:r>
      <w:r>
        <w:rPr>
          <w:rFonts w:ascii="仿宋_GB2312" w:hAnsi="仿宋" w:eastAsia="仿宋_GB2312" w:cs="宋体"/>
          <w:color w:val="000000"/>
          <w:kern w:val="0"/>
          <w:sz w:val="32"/>
          <w:szCs w:val="32"/>
        </w:rPr>
        <w:t>医地经办机构</w:t>
      </w:r>
      <w:r>
        <w:rPr>
          <w:rFonts w:hint="eastAsia" w:ascii="仿宋_GB2312" w:hAnsi="仿宋" w:eastAsia="仿宋_GB2312" w:cs="宋体"/>
          <w:color w:val="000000"/>
          <w:kern w:val="0"/>
          <w:sz w:val="32"/>
          <w:szCs w:val="32"/>
        </w:rPr>
        <w:t>根据</w:t>
      </w:r>
      <w:r>
        <w:rPr>
          <w:rFonts w:ascii="仿宋_GB2312" w:hAnsi="仿宋" w:eastAsia="仿宋_GB2312" w:cs="宋体"/>
          <w:color w:val="000000"/>
          <w:kern w:val="0"/>
          <w:sz w:val="32"/>
          <w:szCs w:val="32"/>
        </w:rPr>
        <w:t>参保地经</w:t>
      </w:r>
      <w:r>
        <w:rPr>
          <w:rFonts w:hint="eastAsia" w:ascii="仿宋_GB2312" w:hAnsi="仿宋" w:eastAsia="仿宋_GB2312" w:cs="宋体"/>
          <w:color w:val="000000"/>
          <w:kern w:val="0"/>
          <w:sz w:val="32"/>
          <w:szCs w:val="32"/>
        </w:rPr>
        <w:t>办</w:t>
      </w:r>
      <w:r>
        <w:rPr>
          <w:rFonts w:ascii="仿宋_GB2312" w:hAnsi="仿宋" w:eastAsia="仿宋_GB2312" w:cs="宋体"/>
          <w:color w:val="000000"/>
          <w:kern w:val="0"/>
          <w:sz w:val="32"/>
          <w:szCs w:val="32"/>
        </w:rPr>
        <w:t>机构审核结果与</w:t>
      </w:r>
      <w:r>
        <w:rPr>
          <w:rFonts w:hint="eastAsia" w:ascii="仿宋_GB2312" w:hAnsi="仿宋" w:eastAsia="仿宋_GB2312" w:cs="宋体"/>
          <w:color w:val="000000"/>
          <w:kern w:val="0"/>
          <w:sz w:val="32"/>
          <w:szCs w:val="32"/>
        </w:rPr>
        <w:t>协议</w:t>
      </w:r>
      <w:r>
        <w:rPr>
          <w:rFonts w:ascii="仿宋_GB2312" w:hAnsi="仿宋" w:eastAsia="仿宋_GB2312" w:cs="宋体"/>
          <w:color w:val="000000"/>
          <w:kern w:val="0"/>
          <w:sz w:val="32"/>
          <w:szCs w:val="32"/>
        </w:rPr>
        <w:t>机构</w:t>
      </w:r>
      <w:r>
        <w:rPr>
          <w:rFonts w:hint="eastAsia" w:ascii="仿宋_GB2312" w:hAnsi="仿宋" w:eastAsia="仿宋_GB2312" w:cs="宋体"/>
          <w:color w:val="000000"/>
          <w:kern w:val="0"/>
          <w:sz w:val="32"/>
          <w:szCs w:val="32"/>
        </w:rPr>
        <w:t>进</w:t>
      </w:r>
      <w:r>
        <w:rPr>
          <w:rFonts w:ascii="仿宋_GB2312" w:hAnsi="仿宋" w:eastAsia="仿宋_GB2312" w:cs="宋体"/>
          <w:color w:val="000000"/>
          <w:kern w:val="0"/>
          <w:sz w:val="32"/>
          <w:szCs w:val="32"/>
        </w:rPr>
        <w:t>行结算</w:t>
      </w:r>
      <w:r>
        <w:rPr>
          <w:rFonts w:hint="eastAsia" w:ascii="仿宋_GB2312" w:hAnsi="仿宋" w:eastAsia="仿宋_GB2312" w:cs="宋体"/>
          <w:color w:val="000000"/>
          <w:kern w:val="0"/>
          <w:sz w:val="32"/>
          <w:szCs w:val="32"/>
        </w:rPr>
        <w:t>，在收到协议机构申请</w:t>
      </w:r>
      <w:r>
        <w:rPr>
          <w:rFonts w:ascii="仿宋_GB2312" w:hAnsi="仿宋" w:eastAsia="仿宋_GB2312" w:cs="宋体"/>
          <w:color w:val="000000"/>
          <w:kern w:val="0"/>
          <w:sz w:val="32"/>
          <w:szCs w:val="32"/>
        </w:rPr>
        <w:t>5</w:t>
      </w:r>
      <w:r>
        <w:rPr>
          <w:rFonts w:hint="eastAsia" w:ascii="仿宋_GB2312" w:hAnsi="仿宋" w:eastAsia="仿宋_GB2312" w:cs="宋体"/>
          <w:color w:val="000000"/>
          <w:kern w:val="0"/>
          <w:sz w:val="32"/>
          <w:szCs w:val="32"/>
        </w:rPr>
        <w:t>个</w:t>
      </w:r>
      <w:r>
        <w:rPr>
          <w:rFonts w:ascii="仿宋_GB2312" w:hAnsi="仿宋" w:eastAsia="仿宋_GB2312" w:cs="宋体"/>
          <w:color w:val="000000"/>
          <w:kern w:val="0"/>
          <w:sz w:val="32"/>
          <w:szCs w:val="32"/>
        </w:rPr>
        <w:t>工作</w:t>
      </w:r>
      <w:r>
        <w:rPr>
          <w:rFonts w:hint="eastAsia" w:ascii="仿宋_GB2312" w:hAnsi="仿宋" w:eastAsia="仿宋_GB2312" w:cs="宋体"/>
          <w:color w:val="000000"/>
          <w:kern w:val="0"/>
          <w:sz w:val="32"/>
          <w:szCs w:val="32"/>
        </w:rPr>
        <w:t>日内完成对账、复核、汇</w:t>
      </w:r>
      <w:r>
        <w:rPr>
          <w:rFonts w:ascii="仿宋_GB2312" w:hAnsi="仿宋" w:eastAsia="仿宋_GB2312" w:cs="宋体"/>
          <w:color w:val="000000"/>
          <w:kern w:val="0"/>
          <w:sz w:val="32"/>
          <w:szCs w:val="32"/>
        </w:rPr>
        <w:t>总</w:t>
      </w:r>
      <w:r>
        <w:rPr>
          <w:rFonts w:hint="eastAsia" w:ascii="仿宋_GB2312" w:hAnsi="仿宋" w:eastAsia="仿宋_GB2312" w:cs="宋体"/>
          <w:color w:val="000000"/>
          <w:kern w:val="0"/>
          <w:sz w:val="32"/>
          <w:szCs w:val="32"/>
        </w:rPr>
        <w:t>，并及时将款项拨付给协议机构。</w:t>
      </w:r>
    </w:p>
    <w:p>
      <w:pPr>
        <w:spacing w:line="560" w:lineRule="exact"/>
        <w:ind w:firstLine="640" w:firstLineChars="200"/>
        <w:rPr>
          <w:rFonts w:ascii="仿宋_GB2312" w:hAnsi="仿宋" w:eastAsia="仿宋_GB2312" w:cs="宋体"/>
          <w:color w:val="000000"/>
          <w:kern w:val="0"/>
          <w:sz w:val="32"/>
          <w:szCs w:val="32"/>
        </w:rPr>
      </w:pPr>
      <w:r>
        <w:rPr>
          <w:rFonts w:hint="eastAsia" w:ascii="黑体" w:hAnsi="黑体" w:eastAsia="黑体" w:cs="黑体"/>
          <w:color w:val="000000"/>
          <w:sz w:val="32"/>
          <w:szCs w:val="32"/>
        </w:rPr>
        <w:t>第六十五条</w:t>
      </w:r>
      <w:r>
        <w:rPr>
          <w:rFonts w:hint="eastAsia"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就</w:t>
      </w:r>
      <w:r>
        <w:rPr>
          <w:rFonts w:ascii="仿宋_GB2312" w:hAnsi="仿宋" w:eastAsia="仿宋_GB2312" w:cs="宋体"/>
          <w:color w:val="000000"/>
          <w:kern w:val="0"/>
          <w:sz w:val="32"/>
          <w:szCs w:val="32"/>
        </w:rPr>
        <w:t>医地经办机构</w:t>
      </w:r>
      <w:r>
        <w:rPr>
          <w:rFonts w:hint="eastAsia" w:ascii="仿宋_GB2312" w:hAnsi="仿宋" w:eastAsia="仿宋_GB2312" w:cs="宋体"/>
          <w:color w:val="000000"/>
          <w:kern w:val="0"/>
          <w:sz w:val="32"/>
          <w:szCs w:val="32"/>
        </w:rPr>
        <w:t>完成就医费用拨付</w:t>
      </w:r>
      <w:r>
        <w:rPr>
          <w:rFonts w:ascii="仿宋_GB2312" w:hAnsi="仿宋" w:eastAsia="仿宋_GB2312" w:cs="宋体"/>
          <w:color w:val="000000"/>
          <w:kern w:val="0"/>
          <w:sz w:val="32"/>
          <w:szCs w:val="32"/>
        </w:rPr>
        <w:t>后</w:t>
      </w:r>
      <w:r>
        <w:rPr>
          <w:rFonts w:hint="eastAsia" w:ascii="仿宋_GB2312" w:hAnsi="仿宋" w:eastAsia="仿宋_GB2312" w:cs="宋体"/>
          <w:color w:val="000000"/>
          <w:kern w:val="0"/>
          <w:sz w:val="32"/>
          <w:szCs w:val="32"/>
        </w:rPr>
        <w:t>，参保地与就医地经办机构即可开展异地就医资金清算，清算由参保地经办机构</w:t>
      </w:r>
      <w:r>
        <w:rPr>
          <w:rFonts w:ascii="仿宋_GB2312" w:hAnsi="仿宋" w:eastAsia="仿宋_GB2312" w:cs="宋体"/>
          <w:color w:val="000000"/>
          <w:kern w:val="0"/>
          <w:sz w:val="32"/>
          <w:szCs w:val="32"/>
        </w:rPr>
        <w:t>发起</w:t>
      </w:r>
      <w:r>
        <w:rPr>
          <w:rFonts w:hint="eastAsia" w:ascii="仿宋_GB2312" w:hAnsi="仿宋" w:eastAsia="仿宋_GB2312" w:cs="宋体"/>
          <w:color w:val="000000"/>
          <w:kern w:val="0"/>
          <w:sz w:val="32"/>
          <w:szCs w:val="32"/>
        </w:rPr>
        <w:t>。参保地经办机构应于每月20前发起清算（可多批次、随时发起），生成《异地工伤保险费用清算表》（</w:t>
      </w:r>
      <w:r>
        <w:rPr>
          <w:rFonts w:ascii="仿宋_GB2312" w:hAnsi="仿宋" w:eastAsia="仿宋_GB2312" w:cs="宋体"/>
          <w:color w:val="000000"/>
          <w:kern w:val="0"/>
          <w:sz w:val="32"/>
          <w:szCs w:val="32"/>
        </w:rPr>
        <w:t>附件</w:t>
      </w:r>
      <w:r>
        <w:rPr>
          <w:rFonts w:hint="eastAsia" w:ascii="仿宋_GB2312" w:hAnsi="仿宋" w:eastAsia="仿宋_GB2312" w:cs="宋体"/>
          <w:color w:val="000000"/>
          <w:kern w:val="0"/>
          <w:sz w:val="32"/>
          <w:szCs w:val="32"/>
        </w:rPr>
        <w:t>10）和《异地工伤保险费用清算明细表》（</w:t>
      </w:r>
      <w:r>
        <w:rPr>
          <w:rFonts w:ascii="仿宋_GB2312" w:hAnsi="仿宋" w:eastAsia="仿宋_GB2312" w:cs="宋体"/>
          <w:color w:val="000000"/>
          <w:kern w:val="0"/>
          <w:sz w:val="32"/>
          <w:szCs w:val="32"/>
        </w:rPr>
        <w:t>附件</w:t>
      </w:r>
      <w:r>
        <w:rPr>
          <w:rFonts w:hint="eastAsia" w:ascii="仿宋_GB2312" w:hAnsi="仿宋" w:eastAsia="仿宋_GB2312" w:cs="宋体"/>
          <w:color w:val="000000"/>
          <w:kern w:val="0"/>
          <w:sz w:val="32"/>
          <w:szCs w:val="32"/>
        </w:rPr>
        <w:t>11），参保地经办机构依据</w:t>
      </w:r>
      <w:r>
        <w:rPr>
          <w:rFonts w:ascii="仿宋_GB2312" w:hAnsi="仿宋" w:eastAsia="仿宋_GB2312" w:cs="宋体"/>
          <w:color w:val="000000"/>
          <w:kern w:val="0"/>
          <w:sz w:val="32"/>
          <w:szCs w:val="32"/>
        </w:rPr>
        <w:t>清算表</w:t>
      </w:r>
      <w:r>
        <w:rPr>
          <w:rFonts w:hint="eastAsia" w:ascii="仿宋_GB2312" w:hAnsi="仿宋" w:eastAsia="仿宋_GB2312" w:cs="宋体"/>
          <w:color w:val="000000"/>
          <w:kern w:val="0"/>
          <w:sz w:val="32"/>
          <w:szCs w:val="32"/>
        </w:rPr>
        <w:t>，向就医地经办机构拨付</w:t>
      </w:r>
      <w:r>
        <w:rPr>
          <w:rFonts w:ascii="仿宋_GB2312" w:hAnsi="仿宋" w:eastAsia="仿宋_GB2312" w:cs="宋体"/>
          <w:color w:val="000000"/>
          <w:kern w:val="0"/>
          <w:sz w:val="32"/>
          <w:szCs w:val="32"/>
        </w:rPr>
        <w:t>异地</w:t>
      </w:r>
      <w:r>
        <w:rPr>
          <w:rFonts w:hint="eastAsia" w:ascii="仿宋_GB2312" w:hAnsi="仿宋" w:eastAsia="仿宋_GB2312" w:cs="宋体"/>
          <w:color w:val="000000"/>
          <w:kern w:val="0"/>
          <w:sz w:val="32"/>
          <w:szCs w:val="32"/>
        </w:rPr>
        <w:t xml:space="preserve">就医费用，并在清算后5日内完成资金拨付工作。 </w:t>
      </w:r>
    </w:p>
    <w:p>
      <w:pPr>
        <w:spacing w:line="560" w:lineRule="exact"/>
        <w:ind w:firstLine="640" w:firstLineChars="200"/>
        <w:rPr>
          <w:rFonts w:ascii="仿宋_GB2312" w:hAnsi="仿宋" w:eastAsia="仿宋_GB2312" w:cs="宋体"/>
          <w:color w:val="000000"/>
          <w:kern w:val="0"/>
          <w:sz w:val="32"/>
          <w:szCs w:val="32"/>
        </w:rPr>
      </w:pPr>
      <w:r>
        <w:rPr>
          <w:rFonts w:hint="eastAsia" w:ascii="黑体" w:hAnsi="黑体" w:eastAsia="黑体" w:cs="黑体"/>
          <w:color w:val="000000"/>
          <w:sz w:val="32"/>
          <w:szCs w:val="32"/>
        </w:rPr>
        <w:t>第六十六条</w:t>
      </w:r>
      <w:r>
        <w:rPr>
          <w:rFonts w:hint="eastAsia"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各地经办机构最晚应于每月26日前完成当月清算资金拨付工作，如出现应拨不拨、超期拨付的情况的，各地可报请自治区社保局协调催办，自治区社保局可在预算执行通报、季度用款计划核拨等环节对欠款地区进行督促。</w:t>
      </w:r>
    </w:p>
    <w:p>
      <w:pPr>
        <w:spacing w:line="560" w:lineRule="exact"/>
        <w:ind w:firstLine="640" w:firstLineChars="200"/>
        <w:rPr>
          <w:rFonts w:ascii="仿宋_GB2312" w:hAnsi="仿宋" w:eastAsia="仿宋_GB2312" w:cs="宋体"/>
          <w:color w:val="000000"/>
          <w:kern w:val="0"/>
          <w:sz w:val="32"/>
          <w:szCs w:val="32"/>
        </w:rPr>
      </w:pPr>
      <w:r>
        <w:rPr>
          <w:rFonts w:hint="eastAsia" w:ascii="黑体" w:hAnsi="黑体" w:eastAsia="黑体" w:cs="黑体"/>
          <w:color w:val="000000"/>
          <w:sz w:val="32"/>
          <w:szCs w:val="32"/>
        </w:rPr>
        <w:t>第六十七条</w:t>
      </w:r>
      <w:r>
        <w:rPr>
          <w:rFonts w:hint="eastAsia" w:ascii="仿宋_GB2312" w:hAnsi="仿宋" w:eastAsia="仿宋_GB2312" w:cs="宋体"/>
          <w:b/>
          <w:color w:val="000000"/>
          <w:kern w:val="0"/>
          <w:sz w:val="32"/>
          <w:szCs w:val="32"/>
        </w:rPr>
        <w:t xml:space="preserve"> </w:t>
      </w:r>
      <w:r>
        <w:rPr>
          <w:rFonts w:hint="eastAsia" w:ascii="仿宋_GB2312" w:hAnsi="仿宋" w:eastAsia="仿宋_GB2312" w:cs="宋体"/>
          <w:color w:val="000000"/>
          <w:kern w:val="0"/>
          <w:sz w:val="32"/>
          <w:szCs w:val="32"/>
        </w:rPr>
        <w:t>各地经办机构将异地就医即时结算费用纳入工伤保险预算管理，依据信息管理系统数据和基金收支规模，做好各项预算工</w:t>
      </w:r>
      <w:r>
        <w:rPr>
          <w:rFonts w:ascii="仿宋_GB2312" w:hAnsi="仿宋" w:eastAsia="仿宋_GB2312" w:cs="宋体"/>
          <w:color w:val="000000"/>
          <w:kern w:val="0"/>
          <w:sz w:val="32"/>
          <w:szCs w:val="32"/>
        </w:rPr>
        <w:t>作</w:t>
      </w:r>
      <w:r>
        <w:rPr>
          <w:rFonts w:hint="eastAsia" w:ascii="仿宋_GB2312" w:hAnsi="仿宋" w:eastAsia="仿宋_GB2312" w:cs="宋体"/>
          <w:color w:val="000000"/>
          <w:kern w:val="0"/>
          <w:sz w:val="32"/>
          <w:szCs w:val="32"/>
        </w:rPr>
        <w:t>。</w:t>
      </w:r>
      <w:r>
        <w:rPr>
          <w:rFonts w:ascii="Times New Roman Regular" w:hAnsi="Times New Roman Regular" w:eastAsia="仿宋_GB2312" w:cs="Times New Roman Regular"/>
          <w:sz w:val="32"/>
          <w:szCs w:val="32"/>
        </w:rPr>
        <w:t>工伤保险跨省异地就医</w:t>
      </w:r>
      <w:r>
        <w:rPr>
          <w:rFonts w:hint="eastAsia" w:ascii="Times New Roman Regular" w:hAnsi="Times New Roman Regular" w:eastAsia="仿宋_GB2312" w:cs="Times New Roman Regular"/>
          <w:sz w:val="32"/>
          <w:szCs w:val="32"/>
          <w:lang w:eastAsia="zh-Hans"/>
        </w:rPr>
        <w:t>直接</w:t>
      </w:r>
      <w:r>
        <w:rPr>
          <w:rFonts w:ascii="Times New Roman Regular" w:hAnsi="Times New Roman Regular" w:eastAsia="仿宋_GB2312" w:cs="Times New Roman Regular"/>
          <w:sz w:val="32"/>
          <w:szCs w:val="32"/>
        </w:rPr>
        <w:t>结算</w:t>
      </w:r>
      <w:r>
        <w:rPr>
          <w:rFonts w:hint="eastAsia" w:ascii="Times New Roman Regular" w:hAnsi="Times New Roman Regular" w:eastAsia="仿宋_GB2312" w:cs="Times New Roman Regular"/>
          <w:sz w:val="32"/>
          <w:szCs w:val="32"/>
        </w:rPr>
        <w:t>流程另行制定。</w:t>
      </w:r>
    </w:p>
    <w:p>
      <w:pPr>
        <w:pStyle w:val="3"/>
        <w:spacing w:before="0" w:after="0" w:line="560" w:lineRule="exact"/>
        <w:jc w:val="center"/>
        <w:rPr>
          <w:rFonts w:ascii="宋体" w:hAnsi="宋体" w:eastAsia="宋体" w:cs="宋体"/>
          <w:color w:val="000000"/>
          <w:szCs w:val="32"/>
        </w:rPr>
      </w:pPr>
    </w:p>
    <w:p>
      <w:pPr>
        <w:pStyle w:val="3"/>
        <w:spacing w:before="0" w:after="0" w:line="560" w:lineRule="exact"/>
        <w:jc w:val="center"/>
        <w:rPr>
          <w:rFonts w:ascii="仿宋_GB2312" w:hAnsi="仿宋_GB2312" w:eastAsia="仿宋_GB2312" w:cs="仿宋_GB2312"/>
          <w:color w:val="000000"/>
          <w:szCs w:val="32"/>
        </w:rPr>
      </w:pPr>
      <w:r>
        <w:rPr>
          <w:rFonts w:hint="eastAsia" w:ascii="宋体" w:hAnsi="宋体" w:eastAsia="宋体" w:cs="宋体"/>
          <w:color w:val="000000"/>
          <w:szCs w:val="32"/>
        </w:rPr>
        <w:t>第四节</w:t>
      </w:r>
      <w:r>
        <w:rPr>
          <w:rFonts w:ascii="宋体" w:hAnsi="宋体" w:eastAsia="宋体" w:cs="宋体"/>
          <w:color w:val="000000"/>
          <w:szCs w:val="32"/>
        </w:rPr>
        <w:t xml:space="preserve"> </w:t>
      </w:r>
      <w:r>
        <w:rPr>
          <w:rFonts w:hint="eastAsia" w:ascii="宋体" w:hAnsi="宋体" w:eastAsia="宋体" w:cs="宋体"/>
          <w:color w:val="000000"/>
          <w:szCs w:val="32"/>
        </w:rPr>
        <w:t>工伤康复管理</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第六十八条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职工因存在肢体、器官功能性障碍或缺陷，可以通过医疗技术、物理治疗、作业治疗、心理治疗、康复护理与职业训练等综合手段，使其达到功能部分恢复或完全恢复并获得就业能力，经办机构应鼓励其进行康复治疗，使其可以尽早重返工作岗位。</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第六十九条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工伤职工需要进行身体机能、心理康复或职业训练的，经工伤保险协议机构认为有必要进行工伤康复治疗并</w:t>
      </w:r>
      <w:r>
        <w:rPr>
          <w:rFonts w:ascii="仿宋_GB2312" w:hAnsi="仿宋_GB2312" w:eastAsia="仿宋_GB2312" w:cs="仿宋_GB2312"/>
          <w:color w:val="000000"/>
          <w:sz w:val="32"/>
          <w:szCs w:val="32"/>
        </w:rPr>
        <w:t>提供康复治疗建议，</w:t>
      </w:r>
      <w:r>
        <w:rPr>
          <w:rFonts w:hint="eastAsia" w:ascii="仿宋_GB2312" w:hAnsi="仿宋_GB2312" w:eastAsia="仿宋_GB2312" w:cs="仿宋_GB2312"/>
          <w:color w:val="000000"/>
          <w:sz w:val="32"/>
          <w:szCs w:val="32"/>
        </w:rPr>
        <w:t>由工伤职工或者其近亲属提出康复申请，由市级劳动能力鉴定委员会核准后到工伤保险康复服务协议机构进行康复治疗。</w:t>
      </w:r>
      <w:r>
        <w:rPr>
          <w:rFonts w:hint="eastAsia" w:ascii="仿宋_GB2312" w:eastAsia="仿宋_GB2312"/>
          <w:color w:val="000000"/>
          <w:sz w:val="32"/>
          <w:szCs w:val="32"/>
          <w:shd w:val="clear" w:color="auto" w:fill="FFFFFF"/>
        </w:rPr>
        <w:t>工伤康复坚持医疗与康复并重，实行“先康复治疗，后鉴定补偿”的原则。</w:t>
      </w:r>
    </w:p>
    <w:p>
      <w:pPr>
        <w:spacing w:line="560" w:lineRule="exact"/>
        <w:ind w:firstLine="640" w:firstLineChars="200"/>
        <w:rPr>
          <w:rStyle w:val="54"/>
          <w:rFonts w:hint="default"/>
        </w:rPr>
      </w:pPr>
      <w:r>
        <w:rPr>
          <w:rFonts w:hint="eastAsia" w:ascii="黑体" w:hAnsi="黑体" w:eastAsia="黑体" w:cs="黑体"/>
          <w:color w:val="000000"/>
          <w:sz w:val="32"/>
          <w:szCs w:val="32"/>
        </w:rPr>
        <w:t>第七十条</w:t>
      </w:r>
      <w:r>
        <w:rPr>
          <w:rFonts w:ascii="黑体" w:hAnsi="黑体" w:eastAsia="黑体" w:cs="黑体"/>
          <w:color w:val="000000"/>
          <w:sz w:val="32"/>
          <w:szCs w:val="32"/>
          <w:lang w:val="en"/>
        </w:rPr>
        <w:t xml:space="preserve"> </w:t>
      </w:r>
      <w:r>
        <w:rPr>
          <w:rStyle w:val="54"/>
          <w:rFonts w:hint="default"/>
        </w:rPr>
        <w:t>社会保险行政部门应建立以医疗康复为基础，职业康复为特色，以促进工伤职工回归社会、从事适宜劳动为目的的工伤康复服务模式。</w:t>
      </w:r>
    </w:p>
    <w:p>
      <w:pPr>
        <w:spacing w:line="560" w:lineRule="exact"/>
        <w:ind w:firstLine="640" w:firstLineChars="200"/>
        <w:rPr>
          <w:rStyle w:val="54"/>
          <w:rFonts w:hint="default"/>
        </w:rPr>
      </w:pPr>
      <w:r>
        <w:rPr>
          <w:rStyle w:val="54"/>
          <w:rFonts w:hint="default"/>
        </w:rPr>
        <w:t>建立精准康复和早期康复发动机制。各级工伤保险行政部门在工伤认定、劳动能力鉴定过程中，可向肢体骨折或韧带肌腱损伤、脊柱脊髓损伤、重型颅脑外伤及烧伤的工伤职工发放康复权益告知书，对有康复意愿的，经劳动能力鉴定委员会确认具备康复价值的，可按国家和我区相关规定享受工伤康复治疗等工伤保险待遇。</w:t>
      </w:r>
    </w:p>
    <w:p>
      <w:pPr>
        <w:spacing w:line="560" w:lineRule="exact"/>
        <w:ind w:firstLine="640" w:firstLineChars="200"/>
        <w:rPr>
          <w:rStyle w:val="54"/>
          <w:rFonts w:hint="default"/>
        </w:rPr>
      </w:pPr>
      <w:r>
        <w:rPr>
          <w:rStyle w:val="54"/>
          <w:rFonts w:hint="default"/>
        </w:rPr>
        <w:t>建立工伤康复早期介入机制，鼓励工伤保险医疗服务协议机构与工伤康复服务协议机构建立医联体或专科联盟，在医疗阶段开展早期康复治疗。</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第七十一条</w:t>
      </w:r>
      <w:r>
        <w:rPr>
          <w:rFonts w:ascii="黑体" w:hAnsi="黑体" w:eastAsia="黑体" w:cs="黑体"/>
          <w:color w:val="000000"/>
          <w:sz w:val="32"/>
          <w:szCs w:val="32"/>
        </w:rPr>
        <w:t xml:space="preserve"> </w:t>
      </w:r>
      <w:r>
        <w:rPr>
          <w:rFonts w:hint="eastAsia" w:ascii="仿宋_GB2312" w:hAnsi="仿宋_GB2312" w:eastAsia="仿宋_GB2312" w:cs="仿宋_GB2312"/>
          <w:bCs/>
          <w:color w:val="000000"/>
          <w:sz w:val="32"/>
          <w:szCs w:val="32"/>
        </w:rPr>
        <w:t>工伤</w:t>
      </w:r>
      <w:r>
        <w:rPr>
          <w:rFonts w:hint="eastAsia" w:ascii="仿宋_GB2312" w:hAnsi="仿宋_GB2312" w:eastAsia="仿宋_GB2312" w:cs="仿宋_GB2312"/>
          <w:color w:val="000000"/>
          <w:sz w:val="32"/>
          <w:szCs w:val="32"/>
        </w:rPr>
        <w:t>职工经评估确认需要康复的，可持社会保障卡在全区互认的工伤康复协议机构，按照鉴定结论确定的工伤康复期进行康复治疗，进行即时结算（</w:t>
      </w:r>
      <w:r>
        <w:rPr>
          <w:rFonts w:ascii="仿宋_GB2312" w:hAnsi="仿宋_GB2312" w:eastAsia="仿宋_GB2312" w:cs="仿宋_GB2312"/>
          <w:color w:val="000000"/>
          <w:sz w:val="32"/>
          <w:szCs w:val="32"/>
        </w:rPr>
        <w:t>参照本</w:t>
      </w:r>
      <w:r>
        <w:rPr>
          <w:rFonts w:hint="eastAsia" w:ascii="仿宋_GB2312" w:hAnsi="仿宋_GB2312" w:eastAsia="仿宋_GB2312" w:cs="仿宋_GB2312"/>
          <w:color w:val="000000"/>
          <w:sz w:val="32"/>
          <w:szCs w:val="32"/>
        </w:rPr>
        <w:t>章</w:t>
      </w:r>
      <w:r>
        <w:rPr>
          <w:rFonts w:ascii="仿宋_GB2312" w:hAnsi="仿宋_GB2312" w:eastAsia="仿宋_GB2312" w:cs="仿宋_GB2312"/>
          <w:color w:val="000000"/>
          <w:sz w:val="32"/>
          <w:szCs w:val="32"/>
        </w:rPr>
        <w:t>第三节</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第七十二条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经办机构要加强对工伤康复服务协议机构的监督管理，应要求协议机构制定康复治疗方案，包括康复治疗项目、时间、预期效果和治疗费用等内容。协议机构在康复治疗过程中根据治疗效果提出康复调整计划，并留存备查。</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第七十三条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工伤康复治疗的时间需要延长时，由工伤保险康复协议机构提出意见，用人单位、工伤职工或近亲属提出申请，报市级劳动能力鉴定委员会核准。</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第七十四条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工伤职工康复治疗结束后，应由工伤保险协议机构出具工伤康复评估意见。经办机构应对工伤职工康复治疗情况进行跟踪管理。</w:t>
      </w:r>
    </w:p>
    <w:p>
      <w:pPr>
        <w:pStyle w:val="3"/>
        <w:spacing w:before="0" w:after="0" w:line="560" w:lineRule="exact"/>
        <w:jc w:val="center"/>
        <w:rPr>
          <w:rFonts w:ascii="宋体" w:hAnsi="宋体" w:eastAsia="宋体" w:cs="宋体"/>
          <w:color w:val="000000"/>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第五节</w:t>
      </w:r>
      <w:r>
        <w:rPr>
          <w:rFonts w:ascii="宋体" w:hAnsi="宋体" w:eastAsia="宋体" w:cs="宋体"/>
          <w:color w:val="000000"/>
          <w:szCs w:val="32"/>
        </w:rPr>
        <w:t xml:space="preserve"> </w:t>
      </w:r>
      <w:r>
        <w:rPr>
          <w:rFonts w:hint="eastAsia" w:ascii="宋体" w:hAnsi="宋体" w:eastAsia="宋体" w:cs="宋体"/>
          <w:color w:val="000000"/>
          <w:szCs w:val="32"/>
        </w:rPr>
        <w:t>辅助器具配置管理</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第七十五条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工伤职工认为需要配置辅助器具的，可以向参保地市级劳动能力鉴定委员会提出辅助器具配置确认申请。工伤职工本人因身体等原因无法提出申请的，可由其近亲属或用人单位代为申请。</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工伤职工收到予以配置的确认结论后，由用人单位、工伤职工或近亲属自主选择在全区互认的</w:t>
      </w:r>
      <w:r>
        <w:rPr>
          <w:rFonts w:hint="eastAsia" w:ascii="仿宋_GB2312" w:hAnsi="仿宋_GB2312" w:eastAsia="仿宋_GB2312" w:cs="仿宋_GB2312"/>
          <w:color w:val="000000"/>
          <w:kern w:val="0"/>
          <w:sz w:val="32"/>
          <w:szCs w:val="32"/>
          <w:lang w:bidi="ar"/>
        </w:rPr>
        <w:t>辅助器具配置协议机构</w:t>
      </w:r>
      <w:r>
        <w:rPr>
          <w:rFonts w:hint="eastAsia" w:ascii="仿宋_GB2312" w:hAnsi="仿宋_GB2312" w:eastAsia="仿宋_GB2312" w:cs="仿宋_GB2312"/>
          <w:color w:val="000000"/>
          <w:sz w:val="32"/>
          <w:szCs w:val="32"/>
        </w:rPr>
        <w:t>进行配置，</w:t>
      </w:r>
      <w:r>
        <w:rPr>
          <w:rFonts w:hint="eastAsia" w:ascii="仿宋_GB2312" w:hAnsi="仿宋_GB2312" w:eastAsia="仿宋_GB2312" w:cs="仿宋_GB2312"/>
          <w:color w:val="000000"/>
          <w:kern w:val="0"/>
          <w:sz w:val="32"/>
          <w:szCs w:val="32"/>
          <w:lang w:bidi="ar"/>
        </w:rPr>
        <w:t>辅助器具配置协议机构</w:t>
      </w:r>
      <w:r>
        <w:rPr>
          <w:rFonts w:hint="eastAsia" w:ascii="仿宋_GB2312" w:hAnsi="仿宋_GB2312" w:eastAsia="仿宋_GB2312" w:cs="仿宋_GB2312"/>
          <w:color w:val="000000"/>
          <w:sz w:val="32"/>
          <w:szCs w:val="32"/>
        </w:rPr>
        <w:t>向工伤职工提供配置服务，并告知以下事项：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（一）工伤职工应当到协议机构进行配置；</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（二）确认配置的辅助器具最高支付限额和最低使用年限；</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（三）工伤职工配置辅助器具超目录或者超出限额部分的费用，工伤保险基金不予支付。</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第七十六条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我区辅助器具配置实行即时结算，劳动能力鉴定委员会做出确认结论后，通过一体化系统、公共服务系统实现确认信息共享。工伤职工可直接通过“我的宁夏”手机APP向</w:t>
      </w:r>
      <w:r>
        <w:rPr>
          <w:rFonts w:hint="eastAsia" w:ascii="仿宋_GB2312" w:hAnsi="仿宋_GB2312" w:eastAsia="仿宋_GB2312" w:cs="仿宋_GB2312"/>
          <w:color w:val="000000"/>
          <w:kern w:val="0"/>
          <w:sz w:val="32"/>
          <w:szCs w:val="32"/>
          <w:lang w:bidi="ar"/>
        </w:rPr>
        <w:t>辅助器具配置机构发出配置申请，也可以由辅助器具配置机构代为发起配置申请，双方确认后，由配置机构通过</w:t>
      </w:r>
      <w:r>
        <w:rPr>
          <w:rFonts w:hint="eastAsia" w:ascii="仿宋_GB2312" w:hAnsi="仿宋_GB2312" w:eastAsia="仿宋_GB2312" w:cs="仿宋_GB2312"/>
          <w:color w:val="000000"/>
          <w:sz w:val="32"/>
          <w:szCs w:val="32"/>
        </w:rPr>
        <w:t>公共服务平台向经办机构发起线上配置申请，经办机构在一体化系统中受理，装配结束后，基金支付范围内的费用由</w:t>
      </w:r>
      <w:r>
        <w:rPr>
          <w:rFonts w:hint="eastAsia" w:ascii="仿宋_GB2312" w:hAnsi="仿宋_GB2312" w:eastAsia="仿宋_GB2312" w:cs="仿宋_GB2312"/>
          <w:color w:val="000000"/>
          <w:kern w:val="0"/>
          <w:sz w:val="32"/>
          <w:szCs w:val="32"/>
          <w:lang w:bidi="ar"/>
        </w:rPr>
        <w:t>辅助器具配置机构申请与参保地经办机构进行联网结算。</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第七十七条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辅助器具达到规定的最低使用年限的，工伤职工向参保地市级劳动能力鉴定委员会申请更换。</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工伤职工因伤情发生变化，需要更换主要部件或者配置新的辅助器具的，经向劳动能力鉴定委员会重新提出确认申请并经确认后，由经办机构支付相关配置费用。</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第七十八条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区内工伤保险辅助器具配置协议机构无法提供所需种类辅助器具或者工伤职工长期居住（工作）在自治区以外的，由工伤职工提</w:t>
      </w:r>
      <w:r>
        <w:rPr>
          <w:rFonts w:ascii="仿宋_GB2312" w:hAnsi="仿宋_GB2312" w:eastAsia="仿宋_GB2312" w:cs="仿宋_GB2312"/>
          <w:color w:val="000000"/>
          <w:sz w:val="32"/>
          <w:szCs w:val="32"/>
        </w:rPr>
        <w:t>交</w:t>
      </w:r>
      <w:r>
        <w:rPr>
          <w:rFonts w:hint="eastAsia" w:ascii="仿宋_GB2312" w:hAnsi="仿宋_GB2312" w:eastAsia="仿宋_GB2312" w:cs="仿宋_GB2312"/>
          <w:color w:val="000000"/>
          <w:sz w:val="32"/>
          <w:szCs w:val="32"/>
        </w:rPr>
        <w:t>《工伤保险跨省异地配置辅助器具备案表》（</w:t>
      </w:r>
      <w:r>
        <w:rPr>
          <w:rFonts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rPr>
        <w:t>12），</w:t>
      </w:r>
      <w:r>
        <w:rPr>
          <w:rFonts w:hint="eastAsia" w:ascii="Times New Roman Regular" w:hAnsi="Times New Roman Regular" w:eastAsia="仿宋_GB2312" w:cs="Times New Roman Regular"/>
          <w:sz w:val="32"/>
          <w:szCs w:val="32"/>
        </w:rPr>
        <w:t>经备案登记程序转自治区外</w:t>
      </w:r>
      <w:r>
        <w:rPr>
          <w:rFonts w:hint="eastAsia" w:ascii="仿宋_GB2312" w:hAnsi="仿宋_GB2312" w:eastAsia="仿宋_GB2312" w:cs="仿宋_GB2312"/>
          <w:color w:val="000000"/>
          <w:sz w:val="32"/>
          <w:szCs w:val="32"/>
        </w:rPr>
        <w:t>配置辅助器具，按照区内目录及限价标准</w:t>
      </w:r>
      <w:r>
        <w:rPr>
          <w:rFonts w:hint="eastAsia" w:ascii="仿宋_GB2312" w:hAnsi="仿宋_GB2312" w:eastAsia="仿宋_GB2312" w:cs="仿宋_GB2312"/>
          <w:color w:val="000000"/>
          <w:sz w:val="32"/>
          <w:szCs w:val="32"/>
          <w:vertAlign w:val="superscript"/>
        </w:rPr>
        <w:t>11</w:t>
      </w:r>
      <w:r>
        <w:rPr>
          <w:rFonts w:hint="eastAsia" w:ascii="仿宋_GB2312" w:hAnsi="仿宋_GB2312" w:eastAsia="仿宋_GB2312" w:cs="仿宋_GB2312"/>
          <w:color w:val="000000"/>
          <w:sz w:val="32"/>
          <w:szCs w:val="32"/>
        </w:rPr>
        <w:t>核定费用。</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第七十九条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辅助器具配置服务协议机构应当建立工伤职工配置服务档案，并至少保存至服务期限结束之日起两年。经办机构可以对配置服务档案进行抽查，作为结算配置费用的依据之一。</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第八十条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经办机构应建立辅助器具工作回访制度，对辅助器具装配的质量和服务进行跟踪检查，并将检查结果作为对辅助器具配置服务协议机构的评价依据。</w:t>
      </w:r>
      <w:bookmarkStart w:id="6" w:name="_Toc89785122"/>
    </w:p>
    <w:p>
      <w:pPr>
        <w:spacing w:line="560" w:lineRule="exact"/>
        <w:ind w:firstLine="643" w:firstLineChars="200"/>
        <w:rPr>
          <w:rFonts w:ascii="黑体" w:hAnsi="黑体" w:eastAsia="黑体" w:cs="黑体"/>
          <w:b/>
          <w:bCs/>
          <w:color w:val="000000"/>
          <w:sz w:val="32"/>
          <w:szCs w:val="32"/>
        </w:rPr>
      </w:pPr>
    </w:p>
    <w:p>
      <w:pPr>
        <w:pStyle w:val="2"/>
        <w:spacing w:line="560" w:lineRule="exact"/>
        <w:jc w:val="center"/>
        <w:rPr>
          <w:rFonts w:ascii="黑体" w:hAnsi="黑体" w:eastAsia="黑体" w:cs="黑体"/>
          <w:b w:val="0"/>
          <w:color w:val="000000"/>
          <w:sz w:val="32"/>
          <w:szCs w:val="32"/>
        </w:rPr>
      </w:pPr>
      <w:r>
        <w:rPr>
          <w:rFonts w:hint="eastAsia" w:ascii="黑体" w:hAnsi="黑体" w:eastAsia="黑体" w:cs="黑体"/>
          <w:b w:val="0"/>
          <w:color w:val="000000"/>
          <w:sz w:val="32"/>
          <w:szCs w:val="32"/>
        </w:rPr>
        <w:t>第五章</w:t>
      </w:r>
      <w:r>
        <w:rPr>
          <w:rFonts w:ascii="黑体" w:hAnsi="黑体" w:eastAsia="黑体" w:cs="黑体"/>
          <w:b w:val="0"/>
          <w:color w:val="000000"/>
          <w:sz w:val="32"/>
          <w:szCs w:val="32"/>
        </w:rPr>
        <w:t xml:space="preserve"> </w:t>
      </w:r>
      <w:r>
        <w:rPr>
          <w:rFonts w:hint="eastAsia" w:ascii="黑体" w:hAnsi="黑体" w:eastAsia="黑体" w:cs="黑体"/>
          <w:b w:val="0"/>
          <w:color w:val="000000"/>
          <w:sz w:val="32"/>
          <w:szCs w:val="32"/>
        </w:rPr>
        <w:t>工伤保险待遇审核</w:t>
      </w:r>
      <w:bookmarkEnd w:id="6"/>
    </w:p>
    <w:p>
      <w:pPr>
        <w:spacing w:line="560" w:lineRule="exact"/>
        <w:ind w:firstLine="643" w:firstLineChars="200"/>
        <w:jc w:val="center"/>
        <w:rPr>
          <w:rFonts w:ascii="黑体" w:hAnsi="黑体" w:eastAsia="黑体" w:cs="黑体"/>
          <w:b/>
          <w:bCs/>
          <w:color w:val="000000"/>
          <w:kern w:val="44"/>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工伤保险待遇审核包括待遇资格确认、医疗待遇审核、康复待遇审核、辅助器具配置费用审核、伤残待遇审核、工亡待遇审核、涉及第三人的工伤保险待遇审核、按工程建设项目参保工伤待遇审核等内容。</w:t>
      </w:r>
    </w:p>
    <w:p>
      <w:pPr>
        <w:spacing w:line="560" w:lineRule="exact"/>
        <w:ind w:firstLine="640" w:firstLineChars="200"/>
        <w:rPr>
          <w:rFonts w:ascii="仿宋_GB2312" w:hAnsi="仿宋_GB2312" w:eastAsia="仿宋_GB2312" w:cs="仿宋_GB2312"/>
          <w:color w:val="000000"/>
          <w:sz w:val="32"/>
          <w:szCs w:val="32"/>
        </w:rPr>
      </w:pPr>
    </w:p>
    <w:p>
      <w:pPr>
        <w:spacing w:line="560" w:lineRule="exact"/>
        <w:jc w:val="center"/>
        <w:rPr>
          <w:rFonts w:ascii="宋体" w:hAnsi="宋体" w:cs="宋体"/>
          <w:b/>
          <w:color w:val="000000"/>
          <w:sz w:val="32"/>
          <w:szCs w:val="32"/>
        </w:rPr>
      </w:pPr>
      <w:r>
        <w:rPr>
          <w:rFonts w:hint="eastAsia" w:ascii="宋体" w:hAnsi="宋体" w:cs="宋体"/>
          <w:b/>
          <w:color w:val="000000"/>
          <w:sz w:val="32"/>
          <w:szCs w:val="32"/>
        </w:rPr>
        <w:t>第一节</w:t>
      </w:r>
      <w:r>
        <w:rPr>
          <w:rFonts w:ascii="宋体" w:hAnsi="宋体" w:cs="宋体"/>
          <w:b/>
          <w:color w:val="000000"/>
          <w:sz w:val="32"/>
          <w:szCs w:val="32"/>
        </w:rPr>
        <w:t xml:space="preserve"> </w:t>
      </w:r>
      <w:r>
        <w:rPr>
          <w:rFonts w:hint="eastAsia" w:ascii="宋体" w:hAnsi="宋体" w:cs="宋体"/>
          <w:b/>
          <w:color w:val="000000"/>
          <w:sz w:val="32"/>
          <w:szCs w:val="32"/>
        </w:rPr>
        <w:t>待遇资格确认</w:t>
      </w:r>
    </w:p>
    <w:p>
      <w:pPr>
        <w:spacing w:line="560" w:lineRule="exact"/>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第八十一条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经办机构收到职工及其近亲属或者用人单位关于工伤医疗、伤残、工亡待遇申请后，应当核准享受待遇人员的身份并通过信息系统核查职工参保缴费、工伤认定、劳动能力鉴定结论等信息，对符合条件的按规定确认职工享受待遇资格。</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经办机构审核各项待遇时应把握工伤职工在参保生效时间、发生工伤时间、鉴定结论作出时间足额缴纳工伤保险费的原则。</w:t>
      </w:r>
    </w:p>
    <w:p>
      <w:pPr>
        <w:spacing w:line="560" w:lineRule="exact"/>
        <w:ind w:firstLine="640" w:firstLineChars="200"/>
        <w:rPr>
          <w:rFonts w:ascii="仿宋_GB2312" w:hAnsi="黑体" w:eastAsia="仿宋_GB2312" w:cs="宋体"/>
          <w:color w:val="000000"/>
          <w:kern w:val="0"/>
          <w:sz w:val="32"/>
          <w:szCs w:val="32"/>
        </w:rPr>
      </w:pPr>
      <w:r>
        <w:rPr>
          <w:rFonts w:hint="eastAsia" w:ascii="黑体" w:hAnsi="黑体" w:eastAsia="黑体" w:cs="黑体"/>
          <w:color w:val="000000"/>
          <w:sz w:val="32"/>
          <w:szCs w:val="32"/>
        </w:rPr>
        <w:t>第八十二条</w:t>
      </w:r>
      <w:r>
        <w:rPr>
          <w:rFonts w:ascii="黑体" w:hAnsi="黑体" w:eastAsia="黑体" w:cs="黑体"/>
          <w:color w:val="000000"/>
          <w:sz w:val="32"/>
          <w:szCs w:val="32"/>
        </w:rPr>
        <w:t xml:space="preserve"> </w:t>
      </w:r>
      <w:r>
        <w:rPr>
          <w:rFonts w:hint="eastAsia" w:ascii="仿宋_GB2312" w:hAnsi="黑体" w:eastAsia="仿宋_GB2312" w:cs="仿宋_GB2312"/>
          <w:color w:val="000000"/>
          <w:sz w:val="32"/>
          <w:szCs w:val="32"/>
        </w:rPr>
        <w:t>一至四级工伤职工和工亡职工供养亲属（以下简称长期待遇领取人员）领取待遇资格认证工作</w:t>
      </w:r>
      <w:r>
        <w:rPr>
          <w:rFonts w:hint="eastAsia" w:ascii="仿宋_GB2312" w:hAnsi="黑体" w:eastAsia="仿宋_GB2312" w:cs="宋体"/>
          <w:color w:val="000000"/>
          <w:kern w:val="0"/>
          <w:sz w:val="32"/>
          <w:szCs w:val="32"/>
        </w:rPr>
        <w:t>采取智能化线上认证和传统线下认证相结合的方式。其中，线上认证包括：信息比对认证、人脸识别自助认证;线下认证包括：现场认证、社会化服务认证、单位协助认证、异地协助认证</w:t>
      </w:r>
      <w:r>
        <w:rPr>
          <w:rFonts w:hint="eastAsia" w:ascii="仿宋_GB2312" w:hAnsi="仿宋_GB2312" w:eastAsia="仿宋_GB2312" w:cs="仿宋_GB2312"/>
          <w:color w:val="000000"/>
          <w:sz w:val="32"/>
          <w:szCs w:val="32"/>
          <w:vertAlign w:val="superscript"/>
        </w:rPr>
        <w:t>12</w:t>
      </w:r>
      <w:r>
        <w:rPr>
          <w:rFonts w:hint="eastAsia" w:ascii="仿宋_GB2312" w:hAnsi="黑体" w:eastAsia="仿宋_GB2312" w:cs="宋体"/>
          <w:color w:val="000000"/>
          <w:kern w:val="0"/>
          <w:sz w:val="32"/>
          <w:szCs w:val="32"/>
        </w:rPr>
        <w:t>。</w:t>
      </w:r>
    </w:p>
    <w:p>
      <w:pPr>
        <w:spacing w:line="56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（一）信息比对认证。自治区社保局通过内部数据比对，以及与公安、民政、司法、卫健、医保、法院等部门数据共享，通过信息比对进行资格认证。</w:t>
      </w:r>
    </w:p>
    <w:p>
      <w:pPr>
        <w:spacing w:line="56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（二）人脸识别自助认证。领取待遇人员通过“我的宁夏”或“掌上12333”政务服务APP等移动终端、国家社会保险公共服务平台等互联网渠道进行人脸识别认证。</w:t>
      </w:r>
    </w:p>
    <w:p>
      <w:pPr>
        <w:spacing w:line="56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三）现场认证。线上认证无法通过的，领取待遇人员可持有效身份证件或社会保障卡在就近的乡镇（街道）民生服务中心及村（社区）代办点，通过宁夏行政审批与公共服务系统，利用高拍仪拍照进行人脸识别认证。认证不通过的，上传身份证或社会保障卡正反面照片、人像正面和侧面照等材料，通过系统审核后完成认证。</w:t>
      </w:r>
    </w:p>
    <w:p>
      <w:pPr>
        <w:spacing w:line="56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四）社会化服务认证。线上认证无法通过的，且因行动不便等原因无法到现场认证的，乡镇（街道）民生服务中心及村（社区）代办点通过上门服务的方式，采集身份证或社会保障卡正反面照片、人像正面和侧面照等材料，上传至宁夏行政审批与公共服务系统，通过系统审核后完成认证。</w:t>
      </w:r>
    </w:p>
    <w:p>
      <w:pPr>
        <w:spacing w:line="56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（五）单位协助认证。线上认证无法通过的机关事业单位、原行业企业领取待遇人员所在单位，向参保地经办机构提供相关认证资料，上传至人社一体化系统中，通过系统审核后完成认证。</w:t>
      </w:r>
    </w:p>
    <w:p>
      <w:pPr>
        <w:spacing w:line="560" w:lineRule="exact"/>
        <w:ind w:firstLine="640" w:firstLineChars="200"/>
        <w:rPr>
          <w:rFonts w:ascii="仿宋_GB2312" w:hAnsi="黑体" w:eastAsia="仿宋_GB2312" w:cs="宋体"/>
          <w:color w:val="000000"/>
          <w:kern w:val="0"/>
          <w:sz w:val="32"/>
          <w:szCs w:val="32"/>
        </w:rPr>
      </w:pPr>
      <w:r>
        <w:rPr>
          <w:rFonts w:hint="eastAsia" w:ascii="仿宋_GB2312" w:hAnsi="黑体" w:eastAsia="仿宋_GB2312" w:cs="宋体"/>
          <w:color w:val="000000"/>
          <w:kern w:val="0"/>
          <w:sz w:val="32"/>
          <w:szCs w:val="32"/>
        </w:rPr>
        <w:t>上述方式无法确认待遇享受资格的，</w:t>
      </w:r>
      <w:r>
        <w:rPr>
          <w:rFonts w:hint="eastAsia" w:ascii="仿宋_GB2312" w:hAnsi="仿宋_GB2312" w:eastAsia="仿宋_GB2312" w:cs="仿宋_GB2312"/>
          <w:color w:val="000000"/>
          <w:kern w:val="0"/>
          <w:sz w:val="32"/>
          <w:szCs w:val="32"/>
          <w:lang w:bidi="ar"/>
        </w:rPr>
        <w:t>经办机构可以委托第三方机构进行核实。</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第八十三条</w:t>
      </w:r>
      <w:r>
        <w:rPr>
          <w:rFonts w:ascii="黑体" w:hAnsi="黑体" w:eastAsia="黑体" w:cs="黑体"/>
          <w:color w:val="000000"/>
          <w:sz w:val="32"/>
          <w:szCs w:val="32"/>
        </w:rPr>
        <w:t xml:space="preserve"> </w:t>
      </w:r>
      <w:r>
        <w:rPr>
          <w:rFonts w:hint="eastAsia" w:ascii="仿宋_GB2312" w:eastAsia="仿宋_GB2312"/>
          <w:color w:val="000000"/>
          <w:sz w:val="32"/>
          <w:szCs w:val="32"/>
        </w:rPr>
        <w:t>领取待遇人员资格认证有效期为12个月，认证有效期采用递延计算方式，认证有效期开始时间为最新认证时间。新增领取待遇人员认证有效期开始时间为享受待遇的开始时间。</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每个认证有效期内，领取待遇人员至少认证一次，也可多次认证，最新认证时间即为认证有效期开始时间，认证有效期结束时间自动向后递延。</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对丧失领取待遇资格人员，一体化系统自动触发暂停待遇功能，经经办机构审核后生效。对超期未认证人员，一体化系统自动触发暂停待遇功能，同步发送暂停待遇的通知短信，一体化系统按月生成暂停待遇人员名单。</w:t>
      </w:r>
    </w:p>
    <w:p>
      <w:pPr>
        <w:spacing w:line="560" w:lineRule="exact"/>
        <w:ind w:firstLine="640" w:firstLineChars="200"/>
        <w:rPr>
          <w:rFonts w:ascii="仿宋_GB2312" w:eastAsia="仿宋_GB2312"/>
          <w:color w:val="000000"/>
          <w:sz w:val="32"/>
          <w:szCs w:val="32"/>
        </w:rPr>
      </w:pPr>
    </w:p>
    <w:p>
      <w:pPr>
        <w:spacing w:line="560" w:lineRule="exact"/>
        <w:ind w:firstLine="643" w:firstLineChars="200"/>
        <w:jc w:val="center"/>
        <w:rPr>
          <w:rFonts w:ascii="宋体" w:hAnsi="宋体" w:cs="宋体"/>
          <w:b/>
          <w:color w:val="000000"/>
          <w:sz w:val="32"/>
          <w:szCs w:val="32"/>
        </w:rPr>
      </w:pPr>
      <w:r>
        <w:rPr>
          <w:rFonts w:hint="eastAsia" w:ascii="宋体" w:hAnsi="宋体" w:cs="宋体"/>
          <w:b/>
          <w:color w:val="000000"/>
          <w:sz w:val="32"/>
          <w:szCs w:val="32"/>
        </w:rPr>
        <w:t>第二节 医疗待遇审核</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第八十四条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lang w:val="en"/>
        </w:rPr>
        <w:t>我区全面</w:t>
      </w:r>
      <w:r>
        <w:rPr>
          <w:rFonts w:hint="eastAsia" w:ascii="仿宋_GB2312" w:hAnsi="仿宋_GB2312" w:eastAsia="仿宋_GB2312" w:cs="仿宋_GB2312"/>
          <w:color w:val="000000"/>
          <w:sz w:val="32"/>
          <w:szCs w:val="32"/>
        </w:rPr>
        <w:t>推行经办机构与工伤保险协议机构的联网结算。</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工伤职工持社会保障卡到工伤保险协议机构就诊并即时结算后，工伤保险协议机构按照服务协议传送工伤职工的费用明细清单、就医信息等结算信息，经办机构根据规定在一体化系统中进行审核。</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职工零星报销医疗费用时，医疗机构出具的电子发票与纸质发票具有同等效力。住院报销提供医疗机构住院收费票据（发票）、住院病案、费用明细清单。门诊报销提供门诊医疗费用收据（发票）、门诊病历、门诊费用明细清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居住（工作）在自治区以外跨省异地就医的工伤职工由经办机构通过</w:t>
      </w:r>
      <w:r>
        <w:rPr>
          <w:rFonts w:ascii="仿宋_GB2312" w:hAnsi="仿宋_GB2312" w:eastAsia="仿宋_GB2312" w:cs="仿宋_GB2312"/>
          <w:color w:val="000000"/>
          <w:sz w:val="32"/>
          <w:szCs w:val="32"/>
        </w:rPr>
        <w:t>信息系统</w:t>
      </w:r>
      <w:r>
        <w:rPr>
          <w:rFonts w:hint="eastAsia" w:ascii="仿宋_GB2312" w:hAnsi="仿宋_GB2312" w:eastAsia="仿宋_GB2312" w:cs="仿宋_GB2312"/>
          <w:color w:val="000000"/>
          <w:sz w:val="32"/>
          <w:szCs w:val="32"/>
        </w:rPr>
        <w:t>对备案信息进行核查。转诊转院到自治区以外就医的工伤职工，需提供转院证明或由经办机构通过</w:t>
      </w:r>
      <w:r>
        <w:rPr>
          <w:rFonts w:ascii="仿宋_GB2312" w:hAnsi="仿宋_GB2312" w:eastAsia="仿宋_GB2312" w:cs="仿宋_GB2312"/>
          <w:color w:val="000000"/>
          <w:sz w:val="32"/>
          <w:szCs w:val="32"/>
        </w:rPr>
        <w:t>信息系统</w:t>
      </w:r>
      <w:r>
        <w:rPr>
          <w:rFonts w:hint="eastAsia" w:ascii="仿宋_GB2312" w:hAnsi="仿宋_GB2312" w:eastAsia="仿宋_GB2312" w:cs="仿宋_GB2312"/>
          <w:color w:val="000000"/>
          <w:sz w:val="32"/>
          <w:szCs w:val="32"/>
        </w:rPr>
        <w:t>对转诊转院申请信息进行核查。</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color w:val="000000"/>
          <w:sz w:val="32"/>
          <w:szCs w:val="32"/>
        </w:rPr>
        <w:t>第八十五条</w:t>
      </w:r>
      <w:r>
        <w:rPr>
          <w:rFonts w:ascii="黑体" w:hAnsi="黑体" w:eastAsia="黑体" w:cs="黑体"/>
          <w:color w:val="000000"/>
          <w:sz w:val="32"/>
          <w:szCs w:val="32"/>
          <w:lang w:val="en"/>
        </w:rPr>
        <w:t xml:space="preserve"> </w:t>
      </w:r>
      <w:r>
        <w:rPr>
          <w:rFonts w:hint="eastAsia" w:ascii="仿宋_GB2312" w:hAnsi="仿宋_GB2312" w:eastAsia="仿宋_GB2312" w:cs="仿宋_GB2312"/>
          <w:sz w:val="32"/>
          <w:szCs w:val="32"/>
        </w:rPr>
        <w:t>经办机构审核医疗费的内容主要包括：</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（一）各项用药、检查、治疗是否与工伤部位、职业病病情相符；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（二）是否符合工伤保险诊疗项目目录、工伤保险药品目录、工伤保险住院服务标准的规定。</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第八十六条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工伤职工住院治疗的，经办机构根据《宁夏回族自治区实施&lt;工伤保险条例&gt;办法》规定的伙食补助费标准及工伤职工的住院天数，核定住院伙食补助费。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履行转诊转院就医程序到自治区以外就医的，经办机构根据《宁夏回族自治区实施&lt;工伤保险条例&gt;办法》规定的交通、食宿费标准，核定交通、食宿费用。</w:t>
      </w:r>
    </w:p>
    <w:p>
      <w:pPr>
        <w:pStyle w:val="3"/>
        <w:spacing w:before="0" w:after="0" w:line="560" w:lineRule="exact"/>
        <w:jc w:val="center"/>
        <w:rPr>
          <w:rFonts w:ascii="宋体" w:hAnsi="宋体" w:eastAsia="宋体" w:cs="宋体"/>
          <w:color w:val="000000"/>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第三节</w:t>
      </w:r>
      <w:r>
        <w:rPr>
          <w:rFonts w:ascii="宋体" w:hAnsi="宋体" w:eastAsia="宋体" w:cs="宋体"/>
          <w:color w:val="000000"/>
          <w:szCs w:val="32"/>
        </w:rPr>
        <w:t xml:space="preserve"> </w:t>
      </w:r>
      <w:r>
        <w:rPr>
          <w:rFonts w:hint="eastAsia" w:ascii="宋体" w:hAnsi="宋体" w:eastAsia="宋体" w:cs="宋体"/>
          <w:color w:val="000000"/>
          <w:szCs w:val="32"/>
        </w:rPr>
        <w:t>康复待遇审核</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第八十七条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工伤职工持社会保障卡到工伤保险协议机构进行康复并即时结算后，工伤保险协议机构按照服务协议传送工伤职工的费用明细清单、就医信息等结算信息，经办机构根据规定在一体化系统中进行审核。</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第八十八条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申请零星报销的，由用人单位或工伤职工向经办机构提供协议机构的收费票据、费用清单、诊断证明、病历资料等，申报康复费用。</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第八十九条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经办机构审核工伤康复费的内容主要包括：</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（一）工伤职工康复方案是否完整齐全；</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（二）各项检查、康复治疗是否与工伤部位、职业病病情相符；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（三）是否符合工伤保险诊疗项目目录、工伤保险药品目录、工伤保险住院服务标准的规定；</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（四）是否符合工伤康复诊疗规范和工伤康复服务项目的规定。</w:t>
      </w:r>
    </w:p>
    <w:p>
      <w:pPr>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第四节</w:t>
      </w:r>
      <w:r>
        <w:rPr>
          <w:rFonts w:ascii="宋体" w:hAnsi="宋体" w:eastAsia="宋体" w:cs="宋体"/>
          <w:color w:val="000000"/>
          <w:szCs w:val="32"/>
        </w:rPr>
        <w:t xml:space="preserve"> </w:t>
      </w:r>
      <w:r>
        <w:rPr>
          <w:rFonts w:hint="eastAsia" w:ascii="宋体" w:hAnsi="宋体" w:eastAsia="宋体" w:cs="宋体"/>
          <w:color w:val="000000"/>
          <w:szCs w:val="32"/>
        </w:rPr>
        <w:t>辅助器具配置费用审核</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第九十条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工伤职工持社会保障卡到工伤保险协议机构配置（更换）辅助器具并即时结算后，工伤保险协议机构按照服务协议传送《工伤人员配置伤残辅助器具确认鉴定表》、发票（PDF扫描版本）、辅助器具配置明细回执单、安装配置病历、安装前后照片、配置完成工伤人员评价结果等信息，经办机构根据规定进行网上审核。</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第九十一条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工伤职工申请辅助器具配置（更换）费用零星报销的，由用人单位或工伤职工持辅助器具配置票据、配置服务记录等材料申报工伤职工的辅助器具配置（更换）费用。</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第九十二条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经办机构对《工伤人员配置伤残辅助器具确认鉴定表》中载明的配置项目和配置标准等信息进行核对，按照</w:t>
      </w:r>
      <w:r>
        <w:rPr>
          <w:rFonts w:hint="eastAsia" w:ascii="仿宋_GB2312" w:hAnsi="仿宋" w:eastAsia="仿宋_GB2312" w:cs="仿宋"/>
          <w:color w:val="000000"/>
          <w:sz w:val="32"/>
          <w:szCs w:val="32"/>
        </w:rPr>
        <w:t>《宁夏回族自治区工伤保险辅助器具配置目录》</w:t>
      </w:r>
      <w:r>
        <w:rPr>
          <w:rFonts w:hint="eastAsia" w:ascii="仿宋_GB2312" w:hAnsi="仿宋_GB2312" w:eastAsia="仿宋_GB2312" w:cs="仿宋_GB2312"/>
          <w:color w:val="000000"/>
          <w:sz w:val="32"/>
          <w:szCs w:val="32"/>
        </w:rPr>
        <w:t>规定审核工伤职工的辅助器具安装、配置（更换）费用。</w:t>
      </w:r>
    </w:p>
    <w:p>
      <w:pPr>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第五节</w:t>
      </w:r>
      <w:r>
        <w:rPr>
          <w:rFonts w:ascii="宋体" w:hAnsi="宋体" w:eastAsia="宋体" w:cs="宋体"/>
          <w:color w:val="000000"/>
          <w:szCs w:val="32"/>
        </w:rPr>
        <w:t xml:space="preserve"> </w:t>
      </w:r>
      <w:r>
        <w:rPr>
          <w:rFonts w:hint="eastAsia" w:ascii="宋体" w:hAnsi="宋体" w:eastAsia="宋体" w:cs="宋体"/>
          <w:color w:val="000000"/>
          <w:szCs w:val="32"/>
        </w:rPr>
        <w:t>伤残待遇审核</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第九十三条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伤残待遇审核包括一次性待遇（一次性伤残补助金、一次性工伤医疗补助金）、长期待遇（伤残津贴、生活护理费）和待遇调整等内容。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伤残津贴、生活护理费自作出劳动能力鉴定结论的次月起计发。</w:t>
      </w:r>
    </w:p>
    <w:p>
      <w:pPr>
        <w:spacing w:line="560" w:lineRule="exact"/>
        <w:ind w:firstLine="640" w:firstLineChars="200"/>
        <w:rPr>
          <w:rFonts w:ascii="仿宋_GB2312" w:hAnsi="仿宋_GB2312" w:eastAsia="仿宋_GB2312" w:cs="仿宋_GB2312"/>
          <w:color w:val="FF0000"/>
          <w:sz w:val="32"/>
          <w:szCs w:val="32"/>
        </w:rPr>
      </w:pPr>
      <w:r>
        <w:rPr>
          <w:rFonts w:hint="eastAsia" w:ascii="黑体" w:hAnsi="黑体" w:eastAsia="黑体" w:cs="黑体"/>
          <w:color w:val="000000"/>
          <w:sz w:val="32"/>
          <w:szCs w:val="32"/>
        </w:rPr>
        <w:t>第九十四条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工伤职工经劳动能力鉴定达到伤残等级的，工伤职工或用人单位可通过线上、线下方式向经办机构申领一次性伤残补助金、伤残津贴、生活护理费、一次性工伤医疗补助金等伤残待遇。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一体化系统支持用人单位通过公共服务系统发起待遇申请，工伤职工手机APP签字确认。工伤职工可通过</w:t>
      </w:r>
      <w:r>
        <w:rPr>
          <w:rFonts w:hint="eastAsia" w:ascii="仿宋_GB2312" w:hAnsi="黑体" w:eastAsia="仿宋_GB2312" w:cs="宋体"/>
          <w:color w:val="000000"/>
          <w:kern w:val="0"/>
          <w:sz w:val="32"/>
          <w:szCs w:val="32"/>
        </w:rPr>
        <w:t>“我的宁夏”</w:t>
      </w:r>
      <w:r>
        <w:rPr>
          <w:rFonts w:hint="eastAsia" w:ascii="仿宋_GB2312" w:hAnsi="仿宋_GB2312" w:eastAsia="仿宋_GB2312" w:cs="仿宋_GB2312"/>
          <w:color w:val="000000"/>
          <w:sz w:val="32"/>
          <w:szCs w:val="32"/>
        </w:rPr>
        <w:t>手机APP直接发起伤残待遇、一次性工伤医疗补助金待遇的支付申请。按用人单位参保的工伤职工在劳动能力鉴定结论下达30日后，未申请再次鉴定、符合待遇享受条件、未提起待遇申请的，一体化系统可主动向参保地经办机构推送伤残待遇支付申请，经办机构核定发放后，一体化系统向工伤职工</w:t>
      </w:r>
      <w:r>
        <w:rPr>
          <w:rFonts w:hint="eastAsia" w:ascii="仿宋_GB2312" w:hAnsi="黑体" w:eastAsia="仿宋_GB2312" w:cs="宋体"/>
          <w:color w:val="000000"/>
          <w:kern w:val="0"/>
          <w:sz w:val="32"/>
          <w:szCs w:val="32"/>
        </w:rPr>
        <w:t>“我的宁夏”</w:t>
      </w:r>
      <w:r>
        <w:rPr>
          <w:rFonts w:hint="eastAsia" w:ascii="仿宋_GB2312" w:hAnsi="仿宋_GB2312" w:eastAsia="仿宋_GB2312" w:cs="仿宋_GB2312"/>
          <w:color w:val="000000"/>
          <w:sz w:val="32"/>
          <w:szCs w:val="32"/>
        </w:rPr>
        <w:t>手机APP主动推送工伤保险待遇发放信息。</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第九十五条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经办机构通过一体化系统核实工伤职工工伤认定信息、劳动能力鉴定信息等。根据伤残等级，以本人缴费工资为计发基数，核定一次性伤残补助金和伤残津贴。</w:t>
      </w:r>
      <w:r>
        <w:rPr>
          <w:rStyle w:val="54"/>
          <w:rFonts w:hint="default"/>
        </w:rPr>
        <w:t>根据</w:t>
      </w:r>
      <w:r>
        <w:rPr>
          <w:rFonts w:ascii="仿宋_GB2312" w:eastAsia="仿宋_GB2312"/>
          <w:color w:val="000000"/>
          <w:sz w:val="32"/>
          <w:szCs w:val="32"/>
        </w:rPr>
        <w:t>《国务院办公厅关于印发降低社会保险费率综合方案的通知》</w:t>
      </w:r>
      <w:r>
        <w:rPr>
          <w:rFonts w:hint="eastAsia" w:ascii="仿宋_GB2312" w:eastAsia="仿宋_GB2312"/>
          <w:color w:val="000000"/>
          <w:sz w:val="32"/>
          <w:szCs w:val="32"/>
        </w:rPr>
        <w:t>（</w:t>
      </w:r>
      <w:r>
        <w:rPr>
          <w:rStyle w:val="54"/>
          <w:rFonts w:hint="default"/>
        </w:rPr>
        <w:t>国办发〔2019〕13 号</w:t>
      </w:r>
      <w:r>
        <w:rPr>
          <w:rFonts w:hint="eastAsia" w:ascii="仿宋_GB2312" w:eastAsia="仿宋_GB2312"/>
          <w:color w:val="000000"/>
          <w:sz w:val="32"/>
          <w:szCs w:val="32"/>
        </w:rPr>
        <w:t>）“</w:t>
      </w:r>
      <w:r>
        <w:rPr>
          <w:rStyle w:val="54"/>
          <w:rFonts w:hint="default"/>
        </w:rPr>
        <w:t>调整社保缴费基数政策</w:t>
      </w:r>
      <w:r>
        <w:rPr>
          <w:rFonts w:hint="eastAsia" w:ascii="仿宋_GB2312" w:eastAsia="仿宋_GB2312"/>
          <w:color w:val="000000"/>
          <w:sz w:val="32"/>
          <w:szCs w:val="32"/>
        </w:rPr>
        <w:t>”</w:t>
      </w:r>
      <w:r>
        <w:rPr>
          <w:rStyle w:val="54"/>
          <w:rFonts w:hint="default"/>
        </w:rPr>
        <w:t>的有关要求，工伤保险所涉及的以本人工资为计发基数的各类待遇，其计发基数上下限均以调整后的全口径城镇单位就业人员平均工资为标准进行确定</w:t>
      </w:r>
      <w:r>
        <w:rPr>
          <w:rFonts w:hint="eastAsia" w:ascii="仿宋_GB2312" w:hAnsi="仿宋_GB2312" w:eastAsia="仿宋_GB2312" w:cs="仿宋_GB2312"/>
          <w:color w:val="000000"/>
          <w:sz w:val="32"/>
          <w:szCs w:val="32"/>
        </w:rPr>
        <w:t>；以自治区上年度职工月平均工资为基数核定的生活护理费，每年7月1日进行调整。伤残津贴实际金额低于我区待遇调整政策规定最低标准的，按最低标准发放。</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工伤职工（含职业病）已经评定伤残等级并申请支付伤残待遇的，其一次性伤残补助金标准严格按照《工伤保险条例》第三十五条、三十六条、三十七条的规定执行。</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工伤职工与用人单位解除劳动合同的，由工伤保险基金支付一次性工伤医疗补助金，终结工伤保险关系，具体标准按照《宁夏回族自治区实施&lt;工伤保险条例&gt;办法》的规定执行。</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第九十六条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职工申请再次鉴定的，经办机构暂缓核定其伤残待遇，宁夏回族自治区劳动能力鉴定委员会应通过一体化系统将再次鉴定结论推送至经办机构，再次鉴定结论发生变化的，自作出再次鉴定结论的次月起以再次鉴定的结论为依据支付相应待遇。</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工伤职工复查鉴定后伤残等级、生活自理障碍等级发生变化的，自作出复查鉴定结论的次月起按复查鉴定结论的等级支付有关待遇，但一次性伤残补助金不再调整。</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职工在同一用人单位连续工作期间多次发生工伤的，按照其在同一用人单位发生工伤的最高伤残级别，计发一次性工伤医疗补助金。一体化系统支持经办机构获取历史签订、解除劳动合同备案登记信息辅助判定。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职工原在军队服役，因战、因公负伤致残，已取得革命伤残军人证，到用人单位后旧伤复发的，不应在多个用人单位重复认定工伤，不应在享受一次性工伤医疗补助金后在其它用人单位再次享受工伤医疗待遇。</w:t>
      </w:r>
    </w:p>
    <w:p>
      <w:pPr>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第六节</w:t>
      </w:r>
      <w:r>
        <w:rPr>
          <w:rFonts w:ascii="宋体" w:hAnsi="宋体" w:eastAsia="宋体" w:cs="宋体"/>
          <w:color w:val="000000"/>
          <w:szCs w:val="32"/>
        </w:rPr>
        <w:t xml:space="preserve"> </w:t>
      </w:r>
      <w:r>
        <w:rPr>
          <w:rFonts w:hint="eastAsia" w:ascii="宋体" w:hAnsi="宋体" w:eastAsia="宋体" w:cs="宋体"/>
          <w:color w:val="000000"/>
          <w:szCs w:val="32"/>
        </w:rPr>
        <w:t>工亡待遇审核</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第九十七条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职工因工死亡或伤残职工停工留薪期内因工伤导致死亡的，其近亲属可以享受一次性工亡补助金、丧葬补助金和符合条件的供养亲属抚恤金。经办机构根据工伤发生时上年度全国城镇居民人均可支配收入和自治区上年度职工月平均工资，核定一次性工亡补助金和丧葬补助金。上年度职工月平均工资标准未公布前核定丧葬补助金的，待新标准公布后，追加核定差额部分，经办机构进行二次补差发放。</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个人死亡同时符合领取基本养老保险丧葬补助金、工伤保险丧葬补助金和失业保险丧葬补助金条件的，其遗属只能选择领取其中的一项，一体化系统通过“身后一件事”系统功能确保实现丧葬补助金的单一性发放。</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第九十八条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工伤职工近亲属或者用人单位申请领取一次性工亡补助金和丧葬补助金的，能够通过部门间信息共享获取的，无需重复提供。暂无法共享的，应提供以下资料：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（一）工亡认定结论或工伤职工死亡证明原件（居民死亡医学证明书、火化证明、殓葬证、因死亡注销户口证明、法院宣告死亡的生效判决书、我国驻境外使领事馆出具的中文版死亡证明等材料之一）；</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（二）工亡职工本人具有金融功能的社会保障卡或工亡职工参保单位对公账户</w:t>
      </w:r>
      <w:r>
        <w:rPr>
          <w:rFonts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第九十九条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申请领取供养亲属抚恤金的，应提供以下资料：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（一）居民身份证原件；</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（二）与工亡职工关系证明（结婚证、户口簿、亲属关系（证明）公证书、出生医学证明等材料之一）；</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（三）社会保险经办业务证明事项告知承诺制承诺书（附件13）（依靠工亡职工生前提供主要生活来源、在校学生、未再婚等）；</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（四）供养亲属的社会保障卡；</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（五）《因工死亡人员供养亲属登记表》（附件</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供养亲属范围和条件根据国务院社会保险行政部门有关规定确定。其中</w:t>
      </w:r>
      <w:r>
        <w:rPr>
          <w:rFonts w:ascii="仿宋_GB2312" w:hAnsi="仿宋_GB2312" w:eastAsia="仿宋_GB2312" w:cs="仿宋_GB2312"/>
          <w:color w:val="000000"/>
          <w:sz w:val="32"/>
          <w:szCs w:val="32"/>
        </w:rPr>
        <w:t>，属于孤儿、孤寡老人</w:t>
      </w:r>
      <w:r>
        <w:rPr>
          <w:rFonts w:hint="eastAsia" w:ascii="仿宋_GB2312" w:hAnsi="仿宋_GB2312" w:eastAsia="仿宋_GB2312" w:cs="仿宋_GB2312"/>
          <w:color w:val="000000"/>
          <w:sz w:val="32"/>
          <w:szCs w:val="32"/>
        </w:rPr>
        <w:t>、完全丧失劳动能力</w:t>
      </w:r>
      <w:r>
        <w:rPr>
          <w:rFonts w:ascii="仿宋_GB2312" w:hAnsi="仿宋_GB2312" w:eastAsia="仿宋_GB2312" w:cs="仿宋_GB2312"/>
          <w:color w:val="000000"/>
          <w:sz w:val="32"/>
          <w:szCs w:val="32"/>
        </w:rPr>
        <w:t>的，经办机构应通过部门间数据共享进行核验</w:t>
      </w:r>
      <w:r>
        <w:rPr>
          <w:rFonts w:hint="eastAsia" w:ascii="仿宋_GB2312" w:hAnsi="仿宋_GB2312" w:eastAsia="仿宋_GB2312" w:cs="仿宋_GB2312"/>
          <w:color w:val="000000"/>
          <w:sz w:val="32"/>
          <w:szCs w:val="32"/>
        </w:rPr>
        <w:t>；暂无法共享的，需提供相关部门出具的证明</w:t>
      </w:r>
      <w:r>
        <w:rPr>
          <w:rFonts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供养亲属享受抚恤金待遇的资格，按职工因工死亡时的条件核定</w:t>
      </w:r>
      <w:r>
        <w:rPr>
          <w:rFonts w:hint="eastAsia" w:ascii="仿宋_GB2312" w:hAnsi="仿宋_GB2312" w:eastAsia="仿宋_GB2312" w:cs="仿宋_GB2312"/>
          <w:color w:val="000000"/>
          <w:sz w:val="32"/>
          <w:szCs w:val="32"/>
          <w:vertAlign w:val="superscript"/>
        </w:rPr>
        <w:t>13</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一百</w:t>
      </w:r>
      <w:r>
        <w:rPr>
          <w:rFonts w:hint="eastAsia" w:ascii="黑体" w:hAnsi="黑体" w:eastAsia="黑体" w:cs="黑体"/>
          <w:color w:val="000000"/>
          <w:sz w:val="32"/>
          <w:szCs w:val="32"/>
        </w:rPr>
        <w:t>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职工因工外出期间发生事故或在抢险救灾中下落不明的，从事故发生当月起第4个月起停发工资。供养亲属提出申领供养亲属抚恤金的，经办机构按规定审核后向其按月支付。生活困难的，可以预支一次性工亡补助金的50%。</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职工被人民法院宣告死亡的，经办机构按规定核定因工死亡待遇。</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一百零一</w:t>
      </w:r>
      <w:r>
        <w:rPr>
          <w:rFonts w:hint="eastAsia" w:ascii="黑体" w:hAnsi="黑体" w:eastAsia="黑体" w:cs="黑体"/>
          <w:color w:val="000000"/>
          <w:sz w:val="32"/>
          <w:szCs w:val="32"/>
        </w:rPr>
        <w:t>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经办机构审核供养亲属申请资料，根据工亡职工本人工资，按照政策规定核定每个供养亲属应享受的抚恤金金额。核定的各供养亲属抚恤金之和不应高于因工死亡职工生前的本人工资。</w:t>
      </w:r>
    </w:p>
    <w:p>
      <w:pPr>
        <w:pStyle w:val="3"/>
        <w:spacing w:before="0" w:after="0" w:line="560" w:lineRule="exact"/>
        <w:jc w:val="center"/>
        <w:rPr>
          <w:rFonts w:ascii="宋体" w:hAnsi="宋体" w:eastAsia="宋体" w:cs="宋体"/>
          <w:color w:val="000000"/>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第七节</w:t>
      </w:r>
      <w:r>
        <w:rPr>
          <w:rFonts w:ascii="宋体" w:hAnsi="宋体" w:eastAsia="宋体" w:cs="宋体"/>
          <w:color w:val="000000"/>
          <w:szCs w:val="32"/>
        </w:rPr>
        <w:t xml:space="preserve"> </w:t>
      </w:r>
      <w:r>
        <w:rPr>
          <w:rFonts w:hint="eastAsia" w:ascii="宋体" w:hAnsi="宋体" w:eastAsia="宋体" w:cs="宋体"/>
          <w:color w:val="000000"/>
          <w:szCs w:val="32"/>
        </w:rPr>
        <w:t>涉及第三人的工伤待遇审核</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一百零</w:t>
      </w:r>
      <w:r>
        <w:rPr>
          <w:rFonts w:hint="eastAsia" w:ascii="黑体" w:hAnsi="黑体" w:eastAsia="黑体" w:cs="黑体"/>
          <w:color w:val="000000"/>
          <w:sz w:val="32"/>
          <w:szCs w:val="32"/>
        </w:rPr>
        <w:t>二条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涉及第三人责任的，经办机构审核工伤待遇时，还应核查以下民事伤害赔偿法律文书：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（一）属于交通事故或者城市轨道交通、客运轮渡、火车事故的，需提供公安交通管理部门出具的《道路交通事故责任认定书》《道路交通事故损害赔偿调解书》；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（二）属于遭受暴力伤害的，需提供公安机关或司法部门出具的遭受暴力伤害和赔偿的相关法律文书；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（三）经人民法院判决或调解的，需提供《民事判决书》或《民事调解书》等证明资料。</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以上涉及公安交通管理部门或者其他部门出具的道路交通事故责任认定书等证明、公安机关出具的遭受暴力伤害证明，能够通过部门间信息共享获取的，无需重复提供。</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一百零</w:t>
      </w:r>
      <w:r>
        <w:rPr>
          <w:rFonts w:hint="eastAsia" w:ascii="黑体" w:hAnsi="黑体" w:eastAsia="黑体" w:cs="黑体"/>
          <w:color w:val="000000"/>
          <w:sz w:val="32"/>
          <w:szCs w:val="32"/>
        </w:rPr>
        <w:t>三条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经办机构根据民事伤害赔偿法律文书确定的医疗费与工伤待遇中的医疗费比较，第三人支付的医疗费用较工伤保险基金应支付医疗费用不足部分基金予以补足，工伤医疗费不得重复享受。未确定赔偿比例或第三人支付的医疗费用金额不明确的，经办机构可要求工伤职工提供其他辅助材料以明确医疗费用分割情况。</w:t>
      </w:r>
    </w:p>
    <w:p>
      <w:pPr>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宋体" w:hAnsi="宋体" w:eastAsia="宋体" w:cs="宋体"/>
          <w:color w:val="000000"/>
          <w:szCs w:val="32"/>
        </w:rPr>
      </w:pPr>
      <w:r>
        <w:rPr>
          <w:rFonts w:ascii="宋体" w:hAnsi="宋体" w:eastAsia="宋体" w:cs="宋体"/>
          <w:color w:val="000000"/>
          <w:szCs w:val="32"/>
        </w:rPr>
        <w:t>第八节</w:t>
      </w:r>
      <w:r>
        <w:rPr>
          <w:rFonts w:hint="eastAsia" w:ascii="宋体" w:hAnsi="宋体" w:eastAsia="宋体" w:cs="宋体"/>
          <w:color w:val="000000"/>
          <w:szCs w:val="32"/>
        </w:rPr>
        <w:t xml:space="preserve"> 按工程建设项目参保</w:t>
      </w:r>
      <w:r>
        <w:rPr>
          <w:rFonts w:ascii="宋体" w:hAnsi="宋体" w:eastAsia="宋体" w:cs="宋体"/>
          <w:color w:val="000000"/>
          <w:szCs w:val="32"/>
        </w:rPr>
        <w:t>工伤待遇</w:t>
      </w:r>
      <w:r>
        <w:rPr>
          <w:rFonts w:hint="eastAsia" w:ascii="宋体" w:hAnsi="宋体" w:eastAsia="宋体" w:cs="宋体"/>
          <w:color w:val="000000"/>
          <w:szCs w:val="32"/>
        </w:rPr>
        <w:t>审核</w:t>
      </w:r>
    </w:p>
    <w:p>
      <w:pPr>
        <w:pStyle w:val="14"/>
        <w:spacing w:line="560" w:lineRule="exact"/>
        <w:ind w:firstLine="640"/>
        <w:rPr>
          <w:rFonts w:hint="default" w:ascii="黑体" w:hAnsi="黑体" w:eastAsia="黑体" w:cs="黑体"/>
          <w:color w:val="000000"/>
          <w:sz w:val="32"/>
          <w:szCs w:val="32"/>
        </w:rPr>
      </w:pPr>
    </w:p>
    <w:p>
      <w:pPr>
        <w:pStyle w:val="14"/>
        <w:spacing w:line="560" w:lineRule="exact"/>
        <w:ind w:firstLine="640"/>
        <w:rPr>
          <w:rFonts w:hint="default" w:ascii="仿宋_GB2312" w:hAnsi="仿宋_GB2312" w:eastAsia="仿宋_GB2312" w:cs="仿宋_GB2312"/>
          <w:color w:val="000000"/>
          <w:sz w:val="32"/>
          <w:szCs w:val="32"/>
        </w:rPr>
      </w:pPr>
      <w:r>
        <w:rPr>
          <w:rFonts w:ascii="黑体" w:hAnsi="黑体" w:eastAsia="黑体" w:cs="黑体"/>
          <w:color w:val="000000"/>
          <w:sz w:val="32"/>
          <w:szCs w:val="32"/>
        </w:rPr>
        <w:t>第一百零四条</w:t>
      </w:r>
      <w:r>
        <w:rPr>
          <w:rFonts w:ascii="仿宋_GB2312" w:hAnsi="仿宋_GB2312" w:eastAsia="仿宋_GB2312" w:cs="仿宋_GB2312"/>
          <w:b/>
          <w:bCs/>
          <w:color w:val="000000"/>
          <w:sz w:val="32"/>
          <w:szCs w:val="32"/>
        </w:rPr>
        <w:t xml:space="preserve"> </w:t>
      </w:r>
      <w:r>
        <w:rPr>
          <w:rFonts w:ascii="仿宋_GB2312" w:hAnsi="仿宋_GB2312" w:eastAsia="仿宋_GB2312" w:cs="仿宋_GB2312"/>
          <w:bCs/>
          <w:color w:val="000000"/>
          <w:sz w:val="32"/>
          <w:szCs w:val="32"/>
        </w:rPr>
        <w:t>按</w:t>
      </w:r>
      <w:r>
        <w:rPr>
          <w:rFonts w:ascii="仿宋_GB2312" w:hAnsi="仿宋_GB2312" w:eastAsia="仿宋_GB2312" w:cs="仿宋_GB2312"/>
          <w:color w:val="000000"/>
          <w:sz w:val="32"/>
          <w:szCs w:val="32"/>
        </w:rPr>
        <w:t>工程建设</w:t>
      </w:r>
      <w:r>
        <w:rPr>
          <w:rFonts w:ascii="仿宋_GB2312" w:hAnsi="仿宋_GB2312" w:eastAsia="仿宋_GB2312" w:cs="仿宋_GB2312"/>
          <w:bCs/>
          <w:color w:val="000000"/>
          <w:sz w:val="32"/>
          <w:szCs w:val="32"/>
        </w:rPr>
        <w:t>项目参保</w:t>
      </w:r>
      <w:r>
        <w:rPr>
          <w:rFonts w:ascii="仿宋_GB2312" w:hAnsi="仿宋_GB2312" w:eastAsia="仿宋_GB2312" w:cs="仿宋_GB2312"/>
          <w:color w:val="000000"/>
          <w:sz w:val="32"/>
          <w:szCs w:val="32"/>
        </w:rPr>
        <w:t>职工在遭受工作事故伤害或职业病伤害后，由总承包单位先行垫付工伤医疗费，待工伤认定后在协议医疗机构即时结算。在参保期内发生工伤的工伤职工在工期结束后，仍处于停工留薪期内可继续享受工伤医疗待遇。伤残待遇待劳动能力鉴定后，按照《工伤保险条例》及《宁夏回族自治区实施〈工伤保险条例〉办法》规定，由经办机构核准支付。</w:t>
      </w:r>
    </w:p>
    <w:p>
      <w:pPr>
        <w:pStyle w:val="17"/>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ascii="黑体" w:hAnsi="黑体" w:eastAsia="黑体" w:cs="黑体"/>
          <w:color w:val="000000"/>
          <w:kern w:val="2"/>
          <w:sz w:val="32"/>
          <w:szCs w:val="32"/>
        </w:rPr>
        <w:t>第一百零</w:t>
      </w:r>
      <w:r>
        <w:rPr>
          <w:rFonts w:hint="eastAsia" w:ascii="黑体" w:hAnsi="黑体" w:eastAsia="黑体" w:cs="黑体"/>
          <w:color w:val="000000"/>
          <w:kern w:val="2"/>
          <w:sz w:val="32"/>
          <w:szCs w:val="32"/>
        </w:rPr>
        <w:t>五</w:t>
      </w:r>
      <w:r>
        <w:rPr>
          <w:rFonts w:ascii="黑体" w:hAnsi="黑体" w:eastAsia="黑体" w:cs="黑体"/>
          <w:color w:val="000000"/>
          <w:kern w:val="2"/>
          <w:sz w:val="32"/>
          <w:szCs w:val="32"/>
        </w:rPr>
        <w:t>条</w:t>
      </w:r>
      <w:r>
        <w:rPr>
          <w:rFonts w:hint="eastAsia" w:ascii="仿宋_GB2312" w:hAnsi="仿宋_GB2312" w:eastAsia="仿宋_GB2312" w:cs="仿宋_GB2312"/>
          <w:b/>
          <w:bCs/>
          <w:color w:val="000000"/>
          <w:sz w:val="32"/>
          <w:szCs w:val="32"/>
        </w:rPr>
        <w:t xml:space="preserve"> </w:t>
      </w:r>
      <w:r>
        <w:rPr>
          <w:rFonts w:ascii="仿宋_GB2312" w:hAnsi="Calibri" w:eastAsia="仿宋_GB2312" w:cs="Times New Roman"/>
          <w:color w:val="000000"/>
          <w:kern w:val="2"/>
          <w:sz w:val="32"/>
          <w:szCs w:val="32"/>
        </w:rPr>
        <w:t>根据《国务院办公厅关于印发降低社会保险费率综合方案的通知》（国办发〔2019〕13 号）</w:t>
      </w:r>
      <w:r>
        <w:rPr>
          <w:rFonts w:hint="eastAsia" w:ascii="仿宋_GB2312" w:hAnsi="Calibri" w:eastAsia="仿宋_GB2312" w:cs="Times New Roman"/>
          <w:color w:val="000000"/>
          <w:kern w:val="2"/>
          <w:sz w:val="32"/>
          <w:szCs w:val="32"/>
        </w:rPr>
        <w:t>“</w:t>
      </w:r>
      <w:r>
        <w:rPr>
          <w:rFonts w:ascii="仿宋_GB2312" w:hAnsi="Calibri" w:eastAsia="仿宋_GB2312" w:cs="Times New Roman"/>
          <w:color w:val="000000"/>
          <w:kern w:val="2"/>
          <w:sz w:val="32"/>
          <w:szCs w:val="32"/>
        </w:rPr>
        <w:t>调整社保缴费基数政策</w:t>
      </w:r>
      <w:r>
        <w:rPr>
          <w:rFonts w:hint="eastAsia" w:ascii="仿宋_GB2312" w:hAnsi="Calibri" w:eastAsia="仿宋_GB2312" w:cs="Times New Roman"/>
          <w:color w:val="000000"/>
          <w:kern w:val="2"/>
          <w:sz w:val="32"/>
          <w:szCs w:val="32"/>
        </w:rPr>
        <w:t>”</w:t>
      </w:r>
      <w:r>
        <w:rPr>
          <w:rFonts w:ascii="仿宋_GB2312" w:hAnsi="Calibri" w:eastAsia="仿宋_GB2312" w:cs="Times New Roman"/>
          <w:color w:val="000000"/>
          <w:kern w:val="2"/>
          <w:sz w:val="32"/>
          <w:szCs w:val="32"/>
        </w:rPr>
        <w:t>的有关</w:t>
      </w:r>
      <w:r>
        <w:rPr>
          <w:rFonts w:hint="eastAsia" w:ascii="仿宋_GB2312" w:hAnsi="Calibri" w:eastAsia="仿宋_GB2312" w:cs="Times New Roman"/>
          <w:color w:val="000000"/>
          <w:kern w:val="2"/>
          <w:sz w:val="32"/>
          <w:szCs w:val="32"/>
        </w:rPr>
        <w:t>规定</w:t>
      </w:r>
      <w:r>
        <w:rPr>
          <w:rFonts w:ascii="仿宋_GB2312" w:hAnsi="Calibri" w:eastAsia="仿宋_GB2312" w:cs="Times New Roman"/>
          <w:color w:val="000000"/>
          <w:kern w:val="2"/>
          <w:sz w:val="32"/>
          <w:szCs w:val="32"/>
        </w:rPr>
        <w:t>，</w:t>
      </w:r>
      <w:r>
        <w:rPr>
          <w:rFonts w:hint="eastAsia" w:ascii="仿宋_GB2312" w:hAnsi="Calibri" w:eastAsia="仿宋_GB2312" w:cs="Times New Roman"/>
          <w:color w:val="000000"/>
          <w:kern w:val="2"/>
          <w:sz w:val="32"/>
          <w:szCs w:val="32"/>
        </w:rPr>
        <w:t>我区</w:t>
      </w:r>
      <w:r>
        <w:rPr>
          <w:rFonts w:hint="eastAsia" w:ascii="仿宋_GB2312" w:hAnsi="仿宋_GB2312" w:eastAsia="仿宋_GB2312" w:cs="仿宋_GB2312"/>
          <w:bCs/>
          <w:color w:val="000000"/>
          <w:sz w:val="32"/>
          <w:szCs w:val="32"/>
        </w:rPr>
        <w:t>按</w:t>
      </w:r>
      <w:r>
        <w:rPr>
          <w:rFonts w:hint="eastAsia" w:ascii="仿宋_GB2312" w:hAnsi="仿宋_GB2312" w:eastAsia="仿宋_GB2312" w:cs="仿宋_GB2312"/>
          <w:color w:val="000000"/>
          <w:sz w:val="32"/>
          <w:szCs w:val="32"/>
        </w:rPr>
        <w:t>工程建设</w:t>
      </w:r>
      <w:r>
        <w:rPr>
          <w:rFonts w:ascii="仿宋_GB2312" w:hAnsi="仿宋_GB2312" w:eastAsia="仿宋_GB2312" w:cs="仿宋_GB2312"/>
          <w:bCs/>
          <w:color w:val="000000"/>
          <w:sz w:val="32"/>
          <w:szCs w:val="32"/>
        </w:rPr>
        <w:t>项目参保职工</w:t>
      </w:r>
      <w:r>
        <w:rPr>
          <w:rFonts w:hint="eastAsia" w:ascii="仿宋_GB2312" w:hAnsi="仿宋_GB2312" w:eastAsia="仿宋_GB2312" w:cs="仿宋_GB2312"/>
          <w:color w:val="000000"/>
          <w:sz w:val="32"/>
          <w:szCs w:val="32"/>
        </w:rPr>
        <w:t>发生工伤后，以本人工资核定的各项待遇计发基数</w:t>
      </w:r>
      <w:r>
        <w:rPr>
          <w:rFonts w:hint="eastAsia" w:ascii="仿宋_GB2312" w:hAnsi="Calibri" w:eastAsia="仿宋_GB2312" w:cs="Times New Roman"/>
          <w:color w:val="000000"/>
          <w:kern w:val="2"/>
          <w:sz w:val="32"/>
          <w:szCs w:val="32"/>
        </w:rPr>
        <w:t>按照发生工伤上年度全区</w:t>
      </w:r>
      <w:r>
        <w:rPr>
          <w:rFonts w:ascii="仿宋_GB2312" w:hAnsi="Calibri" w:eastAsia="仿宋_GB2312" w:cs="Times New Roman"/>
          <w:color w:val="000000"/>
          <w:kern w:val="2"/>
          <w:sz w:val="32"/>
          <w:szCs w:val="32"/>
        </w:rPr>
        <w:t>全口径城镇单位就业人员平均工资为标准进行确定。</w:t>
      </w:r>
    </w:p>
    <w:p>
      <w:pPr>
        <w:pStyle w:val="17"/>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ascii="黑体" w:hAnsi="黑体" w:eastAsia="黑体" w:cs="黑体"/>
          <w:color w:val="000000"/>
          <w:kern w:val="2"/>
          <w:sz w:val="32"/>
          <w:szCs w:val="32"/>
        </w:rPr>
        <w:t>第一百零</w:t>
      </w:r>
      <w:r>
        <w:rPr>
          <w:rFonts w:hint="eastAsia" w:ascii="黑体" w:hAnsi="黑体" w:eastAsia="黑体" w:cs="黑体"/>
          <w:color w:val="000000"/>
          <w:kern w:val="2"/>
          <w:sz w:val="32"/>
          <w:szCs w:val="32"/>
        </w:rPr>
        <w:t>六</w:t>
      </w:r>
      <w:r>
        <w:rPr>
          <w:rFonts w:ascii="黑体" w:hAnsi="黑体" w:eastAsia="黑体" w:cs="黑体"/>
          <w:color w:val="000000"/>
          <w:kern w:val="2"/>
          <w:sz w:val="32"/>
          <w:szCs w:val="32"/>
        </w:rPr>
        <w:t>条</w:t>
      </w:r>
      <w:r>
        <w:rPr>
          <w:rFonts w:ascii="仿宋_GB2312" w:hAnsi="仿宋_GB2312" w:eastAsia="仿宋_GB2312" w:cs="仿宋_GB2312"/>
          <w:b/>
          <w:bCs/>
          <w:color w:val="000000"/>
          <w:sz w:val="32"/>
          <w:szCs w:val="32"/>
        </w:rPr>
        <w:t xml:space="preserve"> </w:t>
      </w:r>
      <w:r>
        <w:rPr>
          <w:rFonts w:hint="eastAsia" w:ascii="仿宋_GB2312" w:hAnsi="仿宋_GB2312" w:eastAsia="仿宋_GB2312" w:cs="仿宋_GB2312"/>
          <w:bCs/>
          <w:color w:val="000000"/>
          <w:sz w:val="32"/>
          <w:szCs w:val="32"/>
        </w:rPr>
        <w:t>按</w:t>
      </w:r>
      <w:r>
        <w:rPr>
          <w:rFonts w:hint="eastAsia" w:ascii="仿宋_GB2312" w:hAnsi="仿宋_GB2312" w:eastAsia="仿宋_GB2312" w:cs="仿宋_GB2312"/>
          <w:color w:val="000000"/>
          <w:sz w:val="32"/>
          <w:szCs w:val="32"/>
        </w:rPr>
        <w:t>工程建设</w:t>
      </w:r>
      <w:r>
        <w:rPr>
          <w:rFonts w:ascii="仿宋_GB2312" w:hAnsi="仿宋_GB2312" w:eastAsia="仿宋_GB2312" w:cs="仿宋_GB2312"/>
          <w:bCs/>
          <w:color w:val="000000"/>
          <w:sz w:val="32"/>
          <w:szCs w:val="32"/>
        </w:rPr>
        <w:t>项目参保职工</w:t>
      </w:r>
      <w:r>
        <w:rPr>
          <w:rFonts w:ascii="仿宋_GB2312" w:hAnsi="仿宋_GB2312" w:eastAsia="仿宋_GB2312" w:cs="仿宋_GB2312"/>
          <w:color w:val="000000"/>
          <w:sz w:val="32"/>
          <w:szCs w:val="32"/>
        </w:rPr>
        <w:t>因工伤残达到1-4级的，在申请核定待遇</w:t>
      </w:r>
      <w:r>
        <w:rPr>
          <w:rFonts w:hint="eastAsia" w:ascii="仿宋_GB2312" w:hAnsi="仿宋_GB2312" w:eastAsia="仿宋_GB2312" w:cs="仿宋_GB2312"/>
          <w:color w:val="000000"/>
          <w:sz w:val="32"/>
          <w:szCs w:val="32"/>
        </w:rPr>
        <w:t>时，</w:t>
      </w:r>
      <w:r>
        <w:rPr>
          <w:rFonts w:ascii="仿宋_GB2312" w:hAnsi="仿宋_GB2312" w:eastAsia="仿宋_GB2312" w:cs="仿宋_GB2312"/>
          <w:color w:val="000000"/>
          <w:sz w:val="32"/>
          <w:szCs w:val="32"/>
        </w:rPr>
        <w:t>根据伤残职工本人意愿选择保留劳动关系</w:t>
      </w:r>
      <w:r>
        <w:rPr>
          <w:rFonts w:hint="eastAsia" w:ascii="仿宋_GB2312" w:hAnsi="仿宋_GB2312" w:eastAsia="仿宋_GB2312" w:cs="仿宋_GB2312"/>
          <w:color w:val="000000"/>
          <w:sz w:val="32"/>
          <w:szCs w:val="32"/>
        </w:rPr>
        <w:t>或</w:t>
      </w:r>
      <w:r>
        <w:rPr>
          <w:rFonts w:ascii="仿宋_GB2312" w:hAnsi="仿宋_GB2312" w:eastAsia="仿宋_GB2312" w:cs="仿宋_GB2312"/>
          <w:color w:val="000000"/>
          <w:sz w:val="32"/>
          <w:szCs w:val="32"/>
        </w:rPr>
        <w:t>申请解除劳动关系，一经选择不得变更</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选择保留劳动关系</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与用</w:t>
      </w:r>
      <w:r>
        <w:rPr>
          <w:rFonts w:hint="eastAsia" w:ascii="仿宋_GB2312" w:hAnsi="仿宋_GB2312" w:eastAsia="仿宋_GB2312" w:cs="仿宋_GB2312"/>
          <w:color w:val="000000"/>
          <w:sz w:val="32"/>
          <w:szCs w:val="32"/>
        </w:rPr>
        <w:t>人</w:t>
      </w:r>
      <w:r>
        <w:rPr>
          <w:rFonts w:ascii="仿宋_GB2312" w:hAnsi="仿宋_GB2312" w:eastAsia="仿宋_GB2312" w:cs="仿宋_GB2312"/>
          <w:color w:val="000000"/>
          <w:sz w:val="32"/>
          <w:szCs w:val="32"/>
        </w:rPr>
        <w:t>单位签订全日制用工劳动合同，由</w:t>
      </w:r>
      <w:r>
        <w:rPr>
          <w:rFonts w:hint="eastAsia" w:ascii="仿宋_GB2312" w:hAnsi="仿宋_GB2312" w:eastAsia="仿宋_GB2312" w:cs="仿宋_GB2312"/>
          <w:color w:val="000000"/>
          <w:sz w:val="32"/>
          <w:szCs w:val="32"/>
        </w:rPr>
        <w:t>按</w:t>
      </w:r>
      <w:r>
        <w:rPr>
          <w:rFonts w:ascii="仿宋_GB2312" w:hAnsi="仿宋_GB2312" w:eastAsia="仿宋_GB2312" w:cs="仿宋_GB2312"/>
          <w:color w:val="000000"/>
          <w:sz w:val="32"/>
          <w:szCs w:val="32"/>
        </w:rPr>
        <w:t>工程</w:t>
      </w:r>
      <w:r>
        <w:rPr>
          <w:rFonts w:hint="eastAsia" w:ascii="仿宋_GB2312" w:hAnsi="仿宋_GB2312" w:eastAsia="仿宋_GB2312" w:cs="仿宋_GB2312"/>
          <w:color w:val="000000"/>
          <w:sz w:val="32"/>
          <w:szCs w:val="32"/>
        </w:rPr>
        <w:t>建设</w:t>
      </w:r>
      <w:r>
        <w:rPr>
          <w:rFonts w:ascii="仿宋_GB2312" w:hAnsi="仿宋_GB2312" w:eastAsia="仿宋_GB2312" w:cs="仿宋_GB2312"/>
          <w:color w:val="000000"/>
          <w:sz w:val="32"/>
          <w:szCs w:val="32"/>
        </w:rPr>
        <w:t>项目参保方式转为</w:t>
      </w:r>
      <w:r>
        <w:rPr>
          <w:rFonts w:hint="eastAsia" w:ascii="仿宋_GB2312" w:hAnsi="仿宋_GB2312" w:eastAsia="仿宋_GB2312" w:cs="仿宋_GB2312"/>
          <w:color w:val="000000"/>
          <w:sz w:val="32"/>
          <w:szCs w:val="32"/>
        </w:rPr>
        <w:t>按</w:t>
      </w:r>
      <w:r>
        <w:rPr>
          <w:rFonts w:ascii="仿宋_GB2312" w:hAnsi="仿宋_GB2312" w:eastAsia="仿宋_GB2312" w:cs="仿宋_GB2312"/>
          <w:color w:val="000000"/>
          <w:sz w:val="32"/>
          <w:szCs w:val="32"/>
        </w:rPr>
        <w:t>单位参保方式，用人单位缴纳社会保险</w:t>
      </w:r>
      <w:r>
        <w:rPr>
          <w:rFonts w:hint="eastAsia" w:ascii="仿宋_GB2312" w:hAnsi="仿宋_GB2312" w:eastAsia="仿宋_GB2312" w:cs="仿宋_GB2312"/>
          <w:color w:val="000000"/>
          <w:sz w:val="32"/>
          <w:szCs w:val="32"/>
        </w:rPr>
        <w:t>费</w:t>
      </w:r>
      <w:r>
        <w:rPr>
          <w:rFonts w:ascii="仿宋_GB2312" w:hAnsi="仿宋_GB2312" w:eastAsia="仿宋_GB2312" w:cs="仿宋_GB2312"/>
          <w:color w:val="000000"/>
          <w:sz w:val="32"/>
          <w:szCs w:val="32"/>
        </w:rPr>
        <w:t>后定期领取工伤保险待遇；申请解除劳动关系</w:t>
      </w:r>
      <w:r>
        <w:rPr>
          <w:rFonts w:hint="eastAsia" w:ascii="仿宋_GB2312" w:hAnsi="仿宋_GB2312" w:eastAsia="仿宋_GB2312" w:cs="仿宋_GB2312"/>
          <w:color w:val="000000"/>
          <w:sz w:val="32"/>
          <w:szCs w:val="32"/>
        </w:rPr>
        <w:t>的</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按照</w:t>
      </w:r>
      <w:r>
        <w:rPr>
          <w:rFonts w:ascii="仿宋_GB2312" w:hAnsi="仿宋_GB2312" w:eastAsia="仿宋_GB2312" w:cs="仿宋_GB2312"/>
          <w:color w:val="000000"/>
          <w:sz w:val="32"/>
          <w:szCs w:val="32"/>
        </w:rPr>
        <w:t>《工伤保险条例》和《宁夏回族自治区实施〈工伤保险条例〉办法》规定一次性结</w:t>
      </w:r>
      <w:r>
        <w:rPr>
          <w:rFonts w:hint="eastAsia" w:ascii="仿宋_GB2312" w:hAnsi="仿宋_GB2312" w:eastAsia="仿宋_GB2312" w:cs="仿宋_GB2312"/>
          <w:color w:val="000000"/>
          <w:sz w:val="32"/>
          <w:szCs w:val="32"/>
        </w:rPr>
        <w:t>清</w:t>
      </w:r>
      <w:r>
        <w:rPr>
          <w:rFonts w:ascii="仿宋_GB2312" w:hAnsi="仿宋_GB2312" w:eastAsia="仿宋_GB2312" w:cs="仿宋_GB2312"/>
          <w:color w:val="000000"/>
          <w:sz w:val="32"/>
          <w:szCs w:val="32"/>
        </w:rPr>
        <w:t>工伤保险待遇。</w:t>
      </w:r>
    </w:p>
    <w:p>
      <w:pPr>
        <w:pStyle w:val="17"/>
        <w:shd w:val="clear" w:color="auto" w:fill="FFFFFF"/>
        <w:spacing w:before="0" w:beforeAutospacing="0" w:after="0" w:afterAutospacing="0"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按</w:t>
      </w:r>
      <w:r>
        <w:rPr>
          <w:rFonts w:hint="eastAsia" w:ascii="仿宋_GB2312" w:hAnsi="仿宋_GB2312" w:eastAsia="仿宋_GB2312" w:cs="仿宋_GB2312"/>
          <w:color w:val="000000"/>
          <w:sz w:val="32"/>
          <w:szCs w:val="32"/>
        </w:rPr>
        <w:t>工程建设</w:t>
      </w:r>
      <w:r>
        <w:rPr>
          <w:rFonts w:ascii="仿宋_GB2312" w:hAnsi="仿宋_GB2312" w:eastAsia="仿宋_GB2312" w:cs="仿宋_GB2312"/>
          <w:bCs/>
          <w:color w:val="000000"/>
          <w:sz w:val="32"/>
          <w:szCs w:val="32"/>
        </w:rPr>
        <w:t>项目参保职工</w:t>
      </w:r>
      <w:r>
        <w:rPr>
          <w:rFonts w:ascii="仿宋_GB2312" w:hAnsi="仿宋_GB2312" w:eastAsia="仿宋_GB2312" w:cs="仿宋_GB2312"/>
          <w:color w:val="000000"/>
          <w:sz w:val="32"/>
          <w:szCs w:val="32"/>
        </w:rPr>
        <w:t>因工死亡的，由工伤保险基金一次性支付丧葬补助金、一次性工亡补助金，按月支付供养亲属抚恤金。</w:t>
      </w:r>
    </w:p>
    <w:p>
      <w:pPr>
        <w:widowControl/>
        <w:spacing w:line="560" w:lineRule="exact"/>
        <w:ind w:firstLine="640" w:firstLineChars="200"/>
        <w:rPr>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一百零</w:t>
      </w:r>
      <w:r>
        <w:rPr>
          <w:rFonts w:hint="eastAsia" w:ascii="黑体" w:hAnsi="黑体" w:eastAsia="黑体" w:cs="黑体"/>
          <w:color w:val="000000"/>
          <w:sz w:val="32"/>
          <w:szCs w:val="32"/>
        </w:rPr>
        <w:t>七条</w:t>
      </w:r>
      <w:r>
        <w:rPr>
          <w:rFonts w:ascii="黑体" w:hAnsi="黑体" w:eastAsia="黑体" w:cs="黑体"/>
          <w:color w:val="000000"/>
          <w:sz w:val="32"/>
          <w:szCs w:val="32"/>
        </w:rPr>
        <w:t xml:space="preserve"> </w:t>
      </w:r>
      <w:r>
        <w:rPr>
          <w:rFonts w:hint="eastAsia" w:ascii="仿宋_GB2312" w:hAnsi="仿宋" w:eastAsia="仿宋_GB2312"/>
          <w:color w:val="000000"/>
          <w:sz w:val="32"/>
          <w:szCs w:val="32"/>
        </w:rPr>
        <w:t>未参加工伤保险的建设项目，职工发生工伤事故，依法由职工所在用人单位支付工伤保险待遇，施工总承包单位、建设单位承担连带责任。</w:t>
      </w:r>
    </w:p>
    <w:p>
      <w:pPr>
        <w:pStyle w:val="2"/>
        <w:spacing w:before="0" w:after="0" w:line="560" w:lineRule="exact"/>
        <w:jc w:val="center"/>
        <w:rPr>
          <w:rFonts w:ascii="黑体" w:hAnsi="黑体" w:eastAsia="黑体" w:cs="黑体"/>
          <w:b w:val="0"/>
          <w:bCs/>
          <w:color w:val="000000"/>
          <w:sz w:val="32"/>
          <w:szCs w:val="32"/>
        </w:rPr>
      </w:pPr>
      <w:bookmarkStart w:id="7" w:name="_Toc89785123"/>
    </w:p>
    <w:p>
      <w:pPr>
        <w:pStyle w:val="2"/>
        <w:spacing w:before="0" w:after="0" w:line="560" w:lineRule="exact"/>
        <w:jc w:val="center"/>
        <w:rPr>
          <w:rFonts w:ascii="黑体" w:hAnsi="黑体" w:eastAsia="黑体" w:cs="黑体"/>
          <w:b w:val="0"/>
          <w:bCs/>
          <w:color w:val="000000"/>
          <w:sz w:val="32"/>
          <w:szCs w:val="32"/>
        </w:rPr>
      </w:pPr>
      <w:r>
        <w:rPr>
          <w:rFonts w:hint="eastAsia" w:ascii="黑体" w:hAnsi="黑体" w:eastAsia="黑体" w:cs="黑体"/>
          <w:b w:val="0"/>
          <w:bCs/>
          <w:color w:val="000000"/>
          <w:sz w:val="32"/>
          <w:szCs w:val="32"/>
        </w:rPr>
        <w:t>第六章</w:t>
      </w:r>
      <w:r>
        <w:rPr>
          <w:rFonts w:ascii="黑体" w:hAnsi="黑体" w:eastAsia="黑体" w:cs="黑体"/>
          <w:b w:val="0"/>
          <w:bCs/>
          <w:color w:val="000000"/>
          <w:sz w:val="32"/>
          <w:szCs w:val="32"/>
        </w:rPr>
        <w:t xml:space="preserve"> </w:t>
      </w:r>
      <w:r>
        <w:rPr>
          <w:rFonts w:hint="eastAsia" w:ascii="黑体" w:hAnsi="黑体" w:eastAsia="黑体" w:cs="黑体"/>
          <w:b w:val="0"/>
          <w:bCs/>
          <w:color w:val="000000"/>
          <w:sz w:val="32"/>
          <w:szCs w:val="32"/>
        </w:rPr>
        <w:t>工伤保险待遇和专项费用支付</w:t>
      </w:r>
      <w:bookmarkEnd w:id="7"/>
    </w:p>
    <w:p>
      <w:pPr>
        <w:spacing w:line="560" w:lineRule="exact"/>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工伤保险待遇和专项费用支付包括工伤保险待遇支付、劳动能力鉴定费和工伤预防费支付、工伤保险待遇调整、工伤保险先行支付审核等内容。</w:t>
      </w:r>
    </w:p>
    <w:p>
      <w:pPr>
        <w:pStyle w:val="3"/>
        <w:spacing w:before="0" w:after="0" w:line="560" w:lineRule="exact"/>
        <w:jc w:val="center"/>
        <w:rPr>
          <w:rFonts w:ascii="宋体" w:hAnsi="宋体" w:eastAsia="宋体" w:cs="宋体"/>
          <w:color w:val="000000"/>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第一节</w:t>
      </w:r>
      <w:r>
        <w:rPr>
          <w:rFonts w:ascii="宋体" w:hAnsi="宋体" w:eastAsia="宋体" w:cs="宋体"/>
          <w:color w:val="000000"/>
          <w:szCs w:val="32"/>
        </w:rPr>
        <w:t xml:space="preserve"> </w:t>
      </w:r>
      <w:r>
        <w:rPr>
          <w:rFonts w:hint="eastAsia" w:ascii="宋体" w:hAnsi="宋体" w:eastAsia="宋体" w:cs="宋体"/>
          <w:color w:val="000000"/>
          <w:szCs w:val="32"/>
        </w:rPr>
        <w:t>工伤保险待遇支付</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一百零</w:t>
      </w:r>
      <w:r>
        <w:rPr>
          <w:rFonts w:hint="eastAsia" w:ascii="黑体" w:hAnsi="黑体" w:eastAsia="黑体" w:cs="黑体"/>
          <w:color w:val="000000"/>
          <w:sz w:val="32"/>
          <w:szCs w:val="32"/>
        </w:rPr>
        <w:t>八条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lang w:val="en"/>
        </w:rPr>
        <w:t>一体化系统通过公共服务系统或手机APP的方式，向</w:t>
      </w:r>
      <w:r>
        <w:rPr>
          <w:rFonts w:hint="eastAsia" w:ascii="仿宋_GB2312" w:hAnsi="仿宋_GB2312" w:eastAsia="仿宋_GB2312" w:cs="仿宋_GB2312"/>
          <w:color w:val="000000"/>
          <w:sz w:val="32"/>
          <w:szCs w:val="32"/>
        </w:rPr>
        <w:t>用人单位或工伤职工、供养亲属</w:t>
      </w:r>
      <w:r>
        <w:rPr>
          <w:rFonts w:hint="eastAsia" w:ascii="仿宋_GB2312" w:hAnsi="仿宋_GB2312" w:eastAsia="仿宋_GB2312" w:cs="仿宋_GB2312"/>
          <w:color w:val="000000"/>
          <w:sz w:val="32"/>
          <w:szCs w:val="32"/>
          <w:lang w:val="en"/>
        </w:rPr>
        <w:t>提供</w:t>
      </w:r>
      <w:r>
        <w:rPr>
          <w:rFonts w:hint="eastAsia" w:ascii="仿宋_GB2312" w:hAnsi="仿宋_GB2312" w:eastAsia="仿宋_GB2312" w:cs="仿宋_GB2312"/>
          <w:color w:val="000000"/>
          <w:sz w:val="32"/>
          <w:szCs w:val="32"/>
        </w:rPr>
        <w:t>经办机构工伤保险待遇核定结果（支付对象、支付金额、支付账户等）。</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 xml:space="preserve">第一百零九条 </w:t>
      </w:r>
      <w:r>
        <w:rPr>
          <w:rFonts w:hint="eastAsia" w:ascii="仿宋_GB2312" w:hAnsi="仿宋_GB2312" w:eastAsia="仿宋_GB2312" w:cs="仿宋_GB2312"/>
          <w:color w:val="000000"/>
          <w:sz w:val="32"/>
          <w:szCs w:val="32"/>
        </w:rPr>
        <w:t>用人单位或工伤职工垫付的工伤医疗费，由经办机构按照申请人提供的支付账户支付给用人单位或职工本人；工伤职工伤残待遇、一次性工伤医疗补助金由经办机构直接支付到工伤职工社会保障卡金融账户；工伤待遇中的丧</w:t>
      </w:r>
      <w:r>
        <w:rPr>
          <w:rFonts w:ascii="仿宋_GB2312" w:hAnsi="仿宋_GB2312" w:eastAsia="仿宋_GB2312" w:cs="仿宋_GB2312"/>
          <w:color w:val="000000"/>
          <w:sz w:val="32"/>
          <w:szCs w:val="32"/>
        </w:rPr>
        <w:t>葬补助金、一次性工亡补助金</w:t>
      </w:r>
      <w:r>
        <w:rPr>
          <w:rFonts w:hint="eastAsia" w:ascii="仿宋_GB2312" w:hAnsi="仿宋_GB2312" w:eastAsia="仿宋_GB2312" w:cs="仿宋_GB2312"/>
          <w:color w:val="000000"/>
          <w:sz w:val="32"/>
          <w:szCs w:val="32"/>
        </w:rPr>
        <w:t>，由经办机构按照申请支付至工亡职工本人社会保障卡金融账户或用人单位对公账户，供养亲属抚恤金支付至供养亲属社会保障卡金融账户。</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第一百一十条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工伤职工在享受工伤保险待遇期间被判刑收监的，其工伤待遇仍按照原渠道支付。</w:t>
      </w:r>
    </w:p>
    <w:p>
      <w:pPr>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宋体" w:hAnsi="宋体" w:eastAsia="宋体"/>
          <w:color w:val="000000"/>
          <w:szCs w:val="32"/>
        </w:rPr>
      </w:pPr>
      <w:r>
        <w:rPr>
          <w:rFonts w:hint="eastAsia" w:ascii="宋体" w:hAnsi="宋体" w:eastAsia="宋体"/>
          <w:color w:val="000000"/>
          <w:szCs w:val="32"/>
        </w:rPr>
        <w:t>第二节</w:t>
      </w:r>
      <w:r>
        <w:rPr>
          <w:rFonts w:ascii="宋体" w:hAnsi="宋体" w:eastAsia="宋体"/>
          <w:color w:val="000000"/>
          <w:szCs w:val="32"/>
        </w:rPr>
        <w:t xml:space="preserve"> </w:t>
      </w:r>
      <w:r>
        <w:rPr>
          <w:rFonts w:hint="eastAsia" w:ascii="宋体" w:hAnsi="宋体" w:eastAsia="宋体"/>
          <w:color w:val="000000"/>
          <w:szCs w:val="32"/>
        </w:rPr>
        <w:t>劳动能力鉴定费和工伤预防费支付</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第一百一十一条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color w:val="000000"/>
          <w:sz w:val="32"/>
          <w:szCs w:val="32"/>
        </w:rPr>
        <w:t>参保</w:t>
      </w:r>
      <w:r>
        <w:rPr>
          <w:rFonts w:hint="eastAsia" w:ascii="仿宋_GB2312" w:hAnsi="仿宋_GB2312" w:eastAsia="仿宋_GB2312" w:cs="仿宋_GB2312"/>
          <w:color w:val="000000"/>
          <w:sz w:val="32"/>
          <w:szCs w:val="32"/>
        </w:rPr>
        <w:t>职工进行劳动能力鉴定后，经办机构应向劳动能力鉴定委员会结算支付劳动能力鉴定费。</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第一百一十二条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工伤预防费用于工伤事故和职业病预防的宣传和培训。</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工伤预防费的使用实行预算管理。经办机构按照上年度预算执行情况，根据工伤预防工作需要，将工伤预防费列入下一年度工伤保险基金支出预算</w:t>
      </w:r>
      <w:r>
        <w:rPr>
          <w:rFonts w:hint="eastAsia" w:ascii="仿宋_GB2312" w:hAnsi="仿宋_GB2312" w:eastAsia="仿宋_GB2312" w:cs="仿宋_GB2312"/>
          <w:color w:val="000000"/>
          <w:sz w:val="32"/>
          <w:szCs w:val="32"/>
          <w:vertAlign w:val="superscript"/>
        </w:rPr>
        <w:t>14</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第一百一十三条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lang w:val="en"/>
        </w:rPr>
        <w:t>各地人社部门遴选确定或人社部门委托经办机构通过政府招标采购程序确定的</w:t>
      </w:r>
      <w:r>
        <w:rPr>
          <w:rFonts w:hint="eastAsia" w:ascii="仿宋_GB2312" w:hAnsi="仿宋_GB2312" w:eastAsia="仿宋_GB2312" w:cs="仿宋_GB2312"/>
          <w:color w:val="000000"/>
          <w:sz w:val="32"/>
          <w:szCs w:val="32"/>
        </w:rPr>
        <w:t>工伤预防项目，由经办机构与项目实施机构签订服务协议，约定实施工伤预防服务的内容，明确双方的权利和义务等事项。</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第一百一十四条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对确定实施的工伤预防项目，经办机构可以根据服务协议或者服务合同的约定，向具体实施工伤预防项目的组织支付30%—70%预付款。</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第一百一十五条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对评估验收合格的工伤预防项目，由经办机构支付余款。具体按照《宁夏回族自治区工伤预防费使用管理办法》和社会保险基金财务制度等规定执行。</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第一百一十六条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color w:val="000000"/>
          <w:sz w:val="32"/>
          <w:szCs w:val="32"/>
        </w:rPr>
        <w:t>项目结束后经办机构要向社会公布工伤预防项目实施情况和工伤预防费用使用情况，接受参保单位和社会各界的监督。</w:t>
      </w:r>
    </w:p>
    <w:p>
      <w:pPr>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第三节</w:t>
      </w:r>
      <w:r>
        <w:rPr>
          <w:rFonts w:ascii="宋体" w:hAnsi="宋体" w:eastAsia="宋体" w:cs="宋体"/>
          <w:color w:val="000000"/>
          <w:szCs w:val="32"/>
        </w:rPr>
        <w:t xml:space="preserve"> </w:t>
      </w:r>
      <w:r>
        <w:rPr>
          <w:rFonts w:hint="eastAsia" w:ascii="宋体" w:hAnsi="宋体" w:eastAsia="宋体" w:cs="宋体"/>
          <w:color w:val="000000"/>
          <w:szCs w:val="32"/>
        </w:rPr>
        <w:t>工伤保险待遇调整</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第一百一十七条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根据工伤保险待遇调整政策，经办机构对工伤职工或供养亲属的工伤保险待遇进行调整，一体化系统应实现对工伤保险长期待遇首次金额、历次调整、资格认证、停发、补发等待遇情况的记录。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各地经办机构应在每月10日前生成当月伤残津贴、护理费、供养亲属抚恤金待遇支付计划，每月15日前发放到位。</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第一百一十八条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工伤职工或供养亲属不再具备享受工伤保险待遇的条件，工伤职工拒不接受劳动能力鉴定或拒绝治疗的，经办机构停止支付工伤保险待遇。</w:t>
      </w:r>
    </w:p>
    <w:p>
      <w:pPr>
        <w:spacing w:line="560" w:lineRule="exact"/>
        <w:ind w:firstLine="640" w:firstLineChars="200"/>
        <w:rPr>
          <w:rFonts w:ascii="仿宋_GB2312" w:hAnsi="仿宋_GB2312" w:eastAsia="仿宋_GB2312" w:cs="仿宋_GB2312"/>
          <w:color w:val="000000"/>
          <w:sz w:val="32"/>
          <w:szCs w:val="32"/>
        </w:rPr>
      </w:pPr>
      <w:r>
        <w:rPr>
          <w:rFonts w:ascii="Times New Roman" w:hAnsi="Times New Roman" w:eastAsia="仿宋"/>
          <w:bCs/>
          <w:sz w:val="32"/>
          <w:szCs w:val="32"/>
        </w:rPr>
        <w:t>个</w:t>
      </w:r>
      <w:r>
        <w:rPr>
          <w:rFonts w:ascii="Times New Roman" w:hAnsi="Times New Roman" w:eastAsia="仿宋_GB2312"/>
          <w:bCs/>
          <w:sz w:val="32"/>
          <w:szCs w:val="32"/>
        </w:rPr>
        <w:t>人</w:t>
      </w:r>
      <w:r>
        <w:rPr>
          <w:rFonts w:ascii="Times New Roman" w:hAnsi="Times New Roman" w:eastAsia="仿宋_GB2312"/>
          <w:sz w:val="32"/>
          <w:szCs w:val="32"/>
        </w:rPr>
        <w:t>多享受</w:t>
      </w:r>
      <w:r>
        <w:rPr>
          <w:rFonts w:hint="eastAsia" w:ascii="Times New Roman" w:hAnsi="Times New Roman" w:eastAsia="仿宋_GB2312"/>
          <w:sz w:val="32"/>
          <w:szCs w:val="32"/>
        </w:rPr>
        <w:t>工伤</w:t>
      </w:r>
      <w:r>
        <w:rPr>
          <w:rFonts w:ascii="Times New Roman" w:hAnsi="Times New Roman" w:eastAsia="仿宋_GB2312"/>
          <w:sz w:val="32"/>
          <w:szCs w:val="32"/>
        </w:rPr>
        <w:t>保险待遇</w:t>
      </w:r>
      <w:r>
        <w:rPr>
          <w:rFonts w:hint="eastAsia" w:ascii="Times New Roman" w:hAnsi="Times New Roman" w:eastAsia="仿宋_GB2312"/>
          <w:sz w:val="32"/>
          <w:szCs w:val="32"/>
        </w:rPr>
        <w:t>的</w:t>
      </w:r>
      <w:r>
        <w:rPr>
          <w:rFonts w:ascii="Times New Roman" w:hAnsi="Times New Roman" w:eastAsia="仿宋_GB2312"/>
          <w:sz w:val="32"/>
          <w:szCs w:val="32"/>
        </w:rPr>
        <w:t>，由经办机构责令退</w:t>
      </w:r>
      <w:r>
        <w:rPr>
          <w:rFonts w:hint="eastAsia" w:ascii="Times New Roman" w:hAnsi="Times New Roman" w:eastAsia="仿宋_GB2312"/>
          <w:sz w:val="32"/>
          <w:szCs w:val="32"/>
        </w:rPr>
        <w:t>回</w:t>
      </w:r>
      <w:r>
        <w:rPr>
          <w:rFonts w:ascii="Times New Roman" w:hAnsi="Times New Roman" w:eastAsia="仿宋_GB2312"/>
          <w:sz w:val="32"/>
          <w:szCs w:val="32"/>
        </w:rPr>
        <w:t>；难以一次性退</w:t>
      </w:r>
      <w:r>
        <w:rPr>
          <w:rFonts w:hint="eastAsia" w:ascii="Times New Roman" w:hAnsi="Times New Roman" w:eastAsia="仿宋_GB2312"/>
          <w:sz w:val="32"/>
          <w:szCs w:val="32"/>
        </w:rPr>
        <w:t>回</w:t>
      </w:r>
      <w:r>
        <w:rPr>
          <w:rFonts w:ascii="Times New Roman" w:hAnsi="Times New Roman" w:eastAsia="仿宋_GB2312"/>
          <w:sz w:val="32"/>
          <w:szCs w:val="32"/>
        </w:rPr>
        <w:t>的，可以签订还款协议分期退</w:t>
      </w:r>
      <w:r>
        <w:rPr>
          <w:rFonts w:hint="eastAsia" w:ascii="Times New Roman" w:hAnsi="Times New Roman" w:eastAsia="仿宋_GB2312"/>
          <w:sz w:val="32"/>
          <w:szCs w:val="32"/>
        </w:rPr>
        <w:t>回</w:t>
      </w:r>
      <w:r>
        <w:rPr>
          <w:rFonts w:ascii="Times New Roman" w:hAnsi="Times New Roman" w:eastAsia="仿宋_GB2312"/>
          <w:sz w:val="32"/>
          <w:szCs w:val="32"/>
        </w:rPr>
        <w:t>，也可以从</w:t>
      </w:r>
      <w:r>
        <w:rPr>
          <w:rFonts w:hint="eastAsia" w:ascii="Times New Roman" w:hAnsi="Times New Roman" w:eastAsia="仿宋_GB2312"/>
          <w:sz w:val="32"/>
          <w:szCs w:val="32"/>
        </w:rPr>
        <w:t>其</w:t>
      </w:r>
      <w:r>
        <w:rPr>
          <w:rFonts w:ascii="Times New Roman" w:hAnsi="Times New Roman" w:eastAsia="仿宋_GB2312"/>
          <w:sz w:val="32"/>
          <w:szCs w:val="32"/>
        </w:rPr>
        <w:t>后续享受的社会保险待遇或者个人账户余额中抵扣。</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对待遇享受资格停止后又具备享受资格的，经办机构审核用人单位、工伤职工或供养亲属提供的相关资料，自符合条件的次月起支付其工伤待遇</w:t>
      </w:r>
      <w:r>
        <w:rPr>
          <w:rFonts w:hint="eastAsia" w:ascii="仿宋_GB2312" w:hAnsi="仿宋_GB2312" w:eastAsia="仿宋_GB2312" w:cs="仿宋_GB2312"/>
          <w:color w:val="000000"/>
          <w:sz w:val="32"/>
          <w:szCs w:val="32"/>
        </w:rPr>
        <w:tab/>
      </w:r>
      <w:r>
        <w:rPr>
          <w:rFonts w:hint="eastAsia" w:ascii="仿宋_GB2312" w:hAnsi="仿宋_GB2312" w:eastAsia="仿宋_GB2312" w:cs="仿宋_GB2312"/>
          <w:color w:val="000000"/>
          <w:sz w:val="32"/>
          <w:szCs w:val="32"/>
        </w:rPr>
        <w:t>,停止支付的工伤保险待遇不予补发</w:t>
      </w:r>
      <w:r>
        <w:rPr>
          <w:rFonts w:hint="eastAsia" w:ascii="仿宋_GB2312" w:hAnsi="仿宋_GB2312" w:eastAsia="仿宋_GB2312" w:cs="仿宋_GB2312"/>
          <w:color w:val="000000"/>
          <w:sz w:val="32"/>
          <w:szCs w:val="32"/>
          <w:vertAlign w:val="superscript"/>
        </w:rPr>
        <w:t>15</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第一百一十九条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用人单位、工伤职工或近亲属、工伤保险协议机构对工伤保险待遇核定金额有异议提出复核的，经办机构应进行复核，确需调整的应予以调整。</w:t>
      </w:r>
    </w:p>
    <w:p>
      <w:pPr>
        <w:pStyle w:val="3"/>
        <w:keepNext w:val="0"/>
        <w:keepLines w:val="0"/>
        <w:spacing w:before="0" w:after="0" w:line="560" w:lineRule="exact"/>
        <w:ind w:firstLine="1928" w:firstLineChars="600"/>
        <w:rPr>
          <w:rFonts w:ascii="宋体" w:hAnsi="宋体" w:eastAsia="宋体"/>
          <w:bCs/>
          <w:color w:val="000000"/>
          <w:szCs w:val="32"/>
        </w:rPr>
      </w:pPr>
      <w:bookmarkStart w:id="8" w:name="_Toc1641"/>
      <w:bookmarkStart w:id="9" w:name="_Toc23482"/>
      <w:bookmarkStart w:id="10" w:name="_Toc29272"/>
      <w:bookmarkStart w:id="11" w:name="_Toc2064"/>
      <w:bookmarkStart w:id="12" w:name="_Toc24128"/>
      <w:bookmarkStart w:id="13" w:name="_Toc22049"/>
      <w:bookmarkStart w:id="14" w:name="_Toc6465"/>
    </w:p>
    <w:p>
      <w:pPr>
        <w:pStyle w:val="3"/>
        <w:keepNext w:val="0"/>
        <w:keepLines w:val="0"/>
        <w:spacing w:before="0" w:after="0" w:line="560" w:lineRule="exact"/>
        <w:ind w:firstLine="1928" w:firstLineChars="600"/>
        <w:rPr>
          <w:rFonts w:ascii="宋体" w:hAnsi="宋体" w:eastAsia="宋体"/>
          <w:bCs/>
          <w:color w:val="000000"/>
          <w:szCs w:val="32"/>
        </w:rPr>
      </w:pPr>
      <w:r>
        <w:rPr>
          <w:rFonts w:hint="eastAsia" w:ascii="宋体" w:hAnsi="宋体" w:eastAsia="宋体"/>
          <w:bCs/>
          <w:color w:val="000000"/>
          <w:szCs w:val="32"/>
        </w:rPr>
        <w:t>第四节</w:t>
      </w:r>
      <w:r>
        <w:rPr>
          <w:rFonts w:ascii="宋体" w:hAnsi="宋体" w:eastAsia="宋体"/>
          <w:bCs/>
          <w:color w:val="000000"/>
          <w:szCs w:val="32"/>
        </w:rPr>
        <w:t xml:space="preserve"> </w:t>
      </w:r>
      <w:r>
        <w:rPr>
          <w:rFonts w:hint="eastAsia" w:ascii="宋体" w:hAnsi="宋体" w:eastAsia="宋体"/>
          <w:bCs/>
          <w:color w:val="000000"/>
          <w:szCs w:val="32"/>
        </w:rPr>
        <w:t>工伤保险先行支付审核</w:t>
      </w:r>
      <w:bookmarkEnd w:id="8"/>
      <w:bookmarkEnd w:id="9"/>
      <w:bookmarkEnd w:id="10"/>
      <w:bookmarkEnd w:id="11"/>
      <w:bookmarkEnd w:id="12"/>
      <w:bookmarkEnd w:id="13"/>
      <w:bookmarkEnd w:id="14"/>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Times New Roman" w:eastAsia="仿宋_GB2312" w:cs="Calibri"/>
          <w:bCs/>
          <w:color w:val="000000"/>
          <w:sz w:val="32"/>
          <w:szCs w:val="32"/>
        </w:rPr>
      </w:pPr>
      <w:r>
        <w:rPr>
          <w:rFonts w:hint="eastAsia" w:ascii="黑体" w:hAnsi="黑体" w:eastAsia="黑体" w:cs="黑体"/>
          <w:color w:val="000000"/>
          <w:sz w:val="32"/>
          <w:szCs w:val="32"/>
        </w:rPr>
        <w:t>第一百二十条</w:t>
      </w:r>
      <w:r>
        <w:rPr>
          <w:rFonts w:hint="eastAsia" w:ascii="仿宋_GB2312" w:hAnsi="Times New Roman" w:eastAsia="仿宋_GB2312" w:cs="Calibri"/>
          <w:bCs/>
          <w:color w:val="000000"/>
          <w:sz w:val="32"/>
          <w:szCs w:val="32"/>
        </w:rPr>
        <w:t xml:space="preserve"> 工伤职工所在单位未依法为其缴纳工伤保险费，且拒不支付工伤待遇，职工申请先行支付的，经办机构审核以下资料：</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（一）工伤职工或近亲属先行支付书面申请及《工伤保险基金先行支付申请表》（附件15）；</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（二）依法诉讼的法院判决书；</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（三）法院出具的中止执行文书；</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（四）法院出具的参保单位破产、解散、拍卖等相关法律文书；</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（五）法律、法规规定的其他有关资料。</w:t>
      </w:r>
    </w:p>
    <w:p>
      <w:pPr>
        <w:spacing w:line="560" w:lineRule="exact"/>
        <w:ind w:firstLine="640" w:firstLineChars="200"/>
        <w:rPr>
          <w:rFonts w:ascii="仿宋_GB2312" w:eastAsia="仿宋_GB2312" w:cs="Calibri"/>
          <w:bCs/>
          <w:color w:val="000000"/>
          <w:sz w:val="32"/>
          <w:szCs w:val="32"/>
        </w:rPr>
      </w:pPr>
      <w:r>
        <w:rPr>
          <w:rFonts w:hint="eastAsia" w:ascii="黑体" w:hAnsi="黑体" w:eastAsia="黑体" w:cs="黑体"/>
          <w:color w:val="000000"/>
          <w:sz w:val="32"/>
          <w:szCs w:val="32"/>
        </w:rPr>
        <w:t>第一百二十一条</w:t>
      </w:r>
      <w:r>
        <w:rPr>
          <w:rFonts w:hint="eastAsia" w:ascii="仿宋_GB2312" w:eastAsia="仿宋_GB2312" w:cs="Calibri"/>
          <w:bCs/>
          <w:color w:val="000000"/>
          <w:sz w:val="32"/>
          <w:szCs w:val="32"/>
        </w:rPr>
        <w:t xml:space="preserve"> 参加工伤保险的职工发生事故伤害涉及第三人责任，且第三责任人不支付工伤医疗费或无法确定第三责任人时，职工申请先行支付的，经办机构审核以下资料：</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（一）工伤职工或近亲属先行支付书面申请及《工伤保险基金先行支付申请表》；</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（二）申请人提交法定部门出具的第三责任人不予支付的证明材料（人民法院出具的民事判决书、法院出具的中止执行文书）；</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（三）属于交通事故或者城市轨道交通、客运轮渡、火车事故的，需提供公安交通管理部门出具的《道路交通事故责任认定书》《道路交通事故损害赔偿调解书》；</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（四）属于遭受暴力伤害的，需提供公安机关或司法部门出具的遭受暴力伤害和赔偿的相关法律文书；</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（五）经人民法院判决或调解的，需提供生效的《民事判决书》《民事调解书》等证明资料；</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（六）因第三责任人确无财产可执行，需提供人民法院出具的《裁定中止执行书》；</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（七）其他有关资料。</w:t>
      </w:r>
    </w:p>
    <w:p>
      <w:pPr>
        <w:spacing w:line="560" w:lineRule="exact"/>
        <w:ind w:firstLine="640" w:firstLineChars="200"/>
        <w:rPr>
          <w:rFonts w:ascii="仿宋_GB2312" w:eastAsia="仿宋_GB2312" w:cs="Calibri"/>
          <w:bCs/>
          <w:color w:val="000000"/>
          <w:sz w:val="32"/>
          <w:szCs w:val="32"/>
        </w:rPr>
      </w:pPr>
      <w:r>
        <w:rPr>
          <w:rFonts w:hint="eastAsia" w:ascii="仿宋_GB2312" w:eastAsia="仿宋_GB2312" w:cs="Calibri"/>
          <w:bCs/>
          <w:color w:val="000000"/>
          <w:sz w:val="32"/>
          <w:szCs w:val="32"/>
        </w:rPr>
        <w:t>经办机构在核定此类先行支付申请时，应当先行确认申请人在职工基本医疗保险支付的情况。</w:t>
      </w:r>
    </w:p>
    <w:p>
      <w:pPr>
        <w:spacing w:line="560" w:lineRule="exact"/>
        <w:ind w:firstLine="640" w:firstLineChars="200"/>
        <w:rPr>
          <w:rFonts w:ascii="仿宋_GB2312" w:eastAsia="仿宋_GB2312" w:cs="Calibri"/>
          <w:bCs/>
          <w:color w:val="000000"/>
          <w:sz w:val="32"/>
          <w:szCs w:val="32"/>
        </w:rPr>
      </w:pPr>
      <w:r>
        <w:rPr>
          <w:rFonts w:hint="eastAsia" w:ascii="黑体" w:hAnsi="黑体" w:eastAsia="黑体" w:cs="黑体"/>
          <w:color w:val="000000"/>
          <w:sz w:val="32"/>
          <w:szCs w:val="32"/>
        </w:rPr>
        <w:t>第一百二十二条</w:t>
      </w:r>
      <w:r>
        <w:rPr>
          <w:rFonts w:hint="eastAsia" w:ascii="仿宋_GB2312" w:eastAsia="仿宋_GB2312" w:cs="Calibri"/>
          <w:bCs/>
          <w:color w:val="000000"/>
          <w:sz w:val="32"/>
          <w:szCs w:val="32"/>
        </w:rPr>
        <w:t xml:space="preserve"> 工伤职工申请先行支付，须提供相关资料。由经办机构审核，审核不符合先行支付条件的，在收到申请人申请后20个工作日内，作出《工伤保险基金不予先行支付告知书》（附件16），并送达申请人。</w:t>
      </w:r>
    </w:p>
    <w:p>
      <w:pPr>
        <w:spacing w:line="560" w:lineRule="exact"/>
        <w:ind w:firstLine="640" w:firstLineChars="200"/>
        <w:rPr>
          <w:rFonts w:ascii="仿宋_GB2312" w:hAnsi="Times New Roman" w:eastAsia="仿宋_GB2312" w:cs="Calibri"/>
          <w:bCs/>
          <w:color w:val="000000"/>
          <w:sz w:val="32"/>
          <w:szCs w:val="32"/>
        </w:rPr>
      </w:pPr>
      <w:r>
        <w:rPr>
          <w:rFonts w:hint="eastAsia" w:ascii="仿宋_GB2312" w:eastAsia="仿宋_GB2312" w:cs="Calibri"/>
          <w:bCs/>
          <w:color w:val="000000"/>
          <w:sz w:val="32"/>
          <w:szCs w:val="32"/>
        </w:rPr>
        <w:t>经办机构对因用人单位未参保或第三责任人原因先行支付相关待遇后，应向用人单位和第三责任人追偿。用人单位或第三责任人拒不偿还相关费用的，</w:t>
      </w:r>
      <w:r>
        <w:rPr>
          <w:rFonts w:hint="eastAsia" w:ascii="仿宋_GB2312" w:hAnsi="Times New Roman" w:eastAsia="仿宋_GB2312" w:cs="Calibri"/>
          <w:bCs/>
          <w:color w:val="000000"/>
          <w:sz w:val="32"/>
          <w:szCs w:val="32"/>
        </w:rPr>
        <w:t>经办机构应依法向人民法院提起诉讼。</w:t>
      </w:r>
    </w:p>
    <w:p>
      <w:pPr>
        <w:spacing w:line="560" w:lineRule="exact"/>
        <w:ind w:firstLine="640" w:firstLineChars="200"/>
        <w:rPr>
          <w:rFonts w:ascii="仿宋_GB2312" w:hAnsi="Times New Roman" w:eastAsia="仿宋_GB2312" w:cs="Calibri"/>
          <w:bCs/>
          <w:color w:val="000000"/>
          <w:sz w:val="32"/>
          <w:szCs w:val="32"/>
        </w:rPr>
      </w:pPr>
    </w:p>
    <w:p>
      <w:pPr>
        <w:pStyle w:val="2"/>
        <w:spacing w:before="0" w:after="0" w:line="560" w:lineRule="exact"/>
        <w:jc w:val="center"/>
        <w:rPr>
          <w:rFonts w:ascii="黑体" w:hAnsi="黑体" w:eastAsia="黑体" w:cs="黑体"/>
          <w:b w:val="0"/>
          <w:color w:val="000000"/>
          <w:sz w:val="32"/>
          <w:szCs w:val="32"/>
        </w:rPr>
      </w:pPr>
      <w:r>
        <w:rPr>
          <w:rFonts w:ascii="黑体" w:hAnsi="黑体" w:eastAsia="黑体" w:cs="黑体"/>
          <w:b w:val="0"/>
          <w:color w:val="000000"/>
          <w:sz w:val="32"/>
          <w:szCs w:val="32"/>
        </w:rPr>
        <w:t>第七章 工伤保险关系转移</w:t>
      </w:r>
      <w:r>
        <w:rPr>
          <w:rFonts w:hint="eastAsia" w:ascii="黑体" w:hAnsi="黑体" w:eastAsia="黑体" w:cs="黑体"/>
          <w:b w:val="0"/>
          <w:color w:val="000000"/>
          <w:sz w:val="32"/>
          <w:szCs w:val="32"/>
        </w:rPr>
        <w:t>接续</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第一百二十三条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自治区境内已参加工伤保险的用人单位有下列情形之一的，可以在自治区境内转移工伤职工的工伤保险关系</w:t>
      </w:r>
      <w:r>
        <w:rPr>
          <w:rFonts w:hint="eastAsia" w:ascii="仿宋_GB2312" w:hAnsi="仿宋_GB2312" w:eastAsia="仿宋_GB2312" w:cs="仿宋_GB2312"/>
          <w:color w:val="000000"/>
          <w:sz w:val="32"/>
          <w:szCs w:val="32"/>
          <w:vertAlign w:val="superscript"/>
        </w:rPr>
        <w:t>16</w:t>
      </w:r>
      <w:r>
        <w:rPr>
          <w:rFonts w:hint="eastAsia" w:ascii="仿宋_GB2312" w:hAnsi="仿宋_GB2312" w:eastAsia="仿宋_GB2312" w:cs="仿宋_GB2312"/>
          <w:color w:val="000000"/>
          <w:sz w:val="32"/>
          <w:szCs w:val="32"/>
        </w:rPr>
        <w:t>。</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（一）用人单位在自治区境内变更注册登记地的；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（二）用人单位发生分立、合并、转让，由承继单位承担原用人单位的工伤保险责任的；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（三）经用人单位确认，工伤职工在自治区内调动工作的；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（四）法律、法规规定的其他情形。</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第一百二十四条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按照自治区工伤保险基金实行自治区级统筹管理有关规定，办理工伤保险关系转移时，只转移关系，不转移基金。</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用人单位申请工伤保险关系转移时，须一次性结清转移前欠缴的工伤保险费、滞纳金等。</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第一百二十五条</w:t>
      </w:r>
      <w:r>
        <w:rPr>
          <w:rFonts w:hint="eastAsia" w:ascii="仿宋_GB2312" w:hAnsi="仿宋_GB2312" w:eastAsia="仿宋_GB2312" w:cs="仿宋_GB2312"/>
          <w:color w:val="000000"/>
          <w:sz w:val="32"/>
          <w:szCs w:val="32"/>
        </w:rPr>
        <w:t xml:space="preserve"> 用人单位发生分立、合并、转让的，办理工伤保险关系转出后，原用人单位与新用人单位须签订《承接工伤保险责任协议书》(附件17)。</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转出地用人单位通过社会保险公共服务系统为</w:t>
      </w:r>
      <w:r>
        <w:rPr>
          <w:rFonts w:hint="eastAsia" w:ascii="仿宋_GB2312" w:eastAsia="仿宋_GB2312"/>
          <w:color w:val="000000"/>
          <w:sz w:val="32"/>
          <w:szCs w:val="32"/>
        </w:rPr>
        <w:t>工伤职工</w:t>
      </w:r>
      <w:r>
        <w:rPr>
          <w:rFonts w:hint="eastAsia" w:ascii="仿宋_GB2312" w:hAnsi="仿宋_GB2312" w:eastAsia="仿宋_GB2312" w:cs="仿宋_GB2312"/>
          <w:color w:val="000000"/>
          <w:sz w:val="32"/>
          <w:szCs w:val="32"/>
        </w:rPr>
        <w:t>做“停保”，注明原因为“转往XX地”，并做参保人员减少业务。转入地用人单位在社会保险公共服务系统为</w:t>
      </w:r>
      <w:r>
        <w:rPr>
          <w:rFonts w:hint="eastAsia" w:ascii="仿宋_GB2312" w:eastAsia="仿宋_GB2312"/>
          <w:color w:val="000000"/>
          <w:sz w:val="32"/>
          <w:szCs w:val="32"/>
        </w:rPr>
        <w:t>工伤职工</w:t>
      </w:r>
      <w:r>
        <w:rPr>
          <w:rFonts w:hint="eastAsia" w:ascii="仿宋_GB2312" w:hAnsi="仿宋_GB2312" w:eastAsia="仿宋_GB2312" w:cs="仿宋_GB2312"/>
          <w:color w:val="000000"/>
          <w:sz w:val="32"/>
          <w:szCs w:val="32"/>
        </w:rPr>
        <w:t>做人员增加业务，并注明增加原因为“XX地转入”。</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转入地用人单位提供单位变更、调动相关资料和《承接工伤保险责任协议书》报转入地经办机构审核备案，转入地</w:t>
      </w:r>
      <w:r>
        <w:rPr>
          <w:rFonts w:ascii="仿宋_GB2312" w:hAnsi="仿宋_GB2312" w:eastAsia="仿宋_GB2312" w:cs="仿宋_GB2312"/>
          <w:color w:val="000000"/>
          <w:sz w:val="32"/>
          <w:szCs w:val="32"/>
        </w:rPr>
        <w:t>经办机构</w:t>
      </w:r>
      <w:r>
        <w:rPr>
          <w:rFonts w:hint="eastAsia" w:ascii="仿宋_GB2312" w:hAnsi="仿宋_GB2312" w:eastAsia="仿宋_GB2312" w:cs="仿宋_GB2312"/>
          <w:color w:val="000000"/>
          <w:sz w:val="32"/>
          <w:szCs w:val="32"/>
        </w:rPr>
        <w:t>在一体化系统办理工伤保险关系转移业务。</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第一百二十六条</w:t>
      </w:r>
      <w:r>
        <w:rPr>
          <w:rFonts w:ascii="黑体" w:hAnsi="黑体" w:eastAsia="黑体" w:cs="黑体"/>
          <w:color w:val="000000"/>
          <w:sz w:val="32"/>
          <w:szCs w:val="32"/>
        </w:rPr>
        <w:t xml:space="preserve"> </w:t>
      </w:r>
      <w:r>
        <w:rPr>
          <w:rFonts w:ascii="仿宋_GB2312" w:hAnsi="仿宋_GB2312" w:eastAsia="仿宋_GB2312" w:cs="仿宋_GB2312"/>
          <w:color w:val="000000"/>
          <w:sz w:val="32"/>
          <w:szCs w:val="32"/>
        </w:rPr>
        <w:t>工伤保险待遇由工伤保险关系转入地经办机构从关系转入</w:t>
      </w:r>
      <w:r>
        <w:rPr>
          <w:rFonts w:hint="eastAsia" w:ascii="仿宋_GB2312" w:hAnsi="仿宋_GB2312" w:eastAsia="仿宋_GB2312" w:cs="仿宋_GB2312"/>
          <w:color w:val="000000"/>
          <w:sz w:val="32"/>
          <w:szCs w:val="32"/>
        </w:rPr>
        <w:t>后</w:t>
      </w:r>
      <w:r>
        <w:rPr>
          <w:rFonts w:ascii="仿宋_GB2312" w:hAnsi="仿宋_GB2312" w:eastAsia="仿宋_GB2312" w:cs="仿宋_GB2312"/>
          <w:color w:val="000000"/>
          <w:sz w:val="32"/>
          <w:szCs w:val="32"/>
        </w:rPr>
        <w:t>按规定支付，包括工伤职工在参保缴费期应由转出地经办机构支付但尚未支付的工伤保险待遇。</w:t>
      </w:r>
    </w:p>
    <w:p>
      <w:pPr>
        <w:pStyle w:val="2"/>
        <w:spacing w:before="0" w:after="0" w:line="560" w:lineRule="exact"/>
        <w:jc w:val="center"/>
        <w:rPr>
          <w:rFonts w:ascii="黑体" w:hAnsi="黑体" w:eastAsia="黑体" w:cs="黑体"/>
          <w:b w:val="0"/>
          <w:bCs/>
          <w:color w:val="000000"/>
          <w:sz w:val="32"/>
          <w:szCs w:val="32"/>
        </w:rPr>
      </w:pPr>
    </w:p>
    <w:p>
      <w:pPr>
        <w:pStyle w:val="2"/>
        <w:spacing w:before="0" w:after="0" w:line="560" w:lineRule="exact"/>
        <w:jc w:val="center"/>
        <w:rPr>
          <w:rFonts w:ascii="黑体" w:hAnsi="黑体" w:eastAsia="黑体" w:cs="黑体"/>
          <w:b w:val="0"/>
          <w:bCs/>
          <w:color w:val="000000"/>
          <w:sz w:val="32"/>
          <w:szCs w:val="32"/>
        </w:rPr>
      </w:pPr>
      <w:r>
        <w:rPr>
          <w:rFonts w:hint="eastAsia" w:ascii="黑体" w:hAnsi="黑体" w:eastAsia="黑体" w:cs="黑体"/>
          <w:b w:val="0"/>
          <w:bCs/>
          <w:color w:val="000000"/>
          <w:sz w:val="32"/>
          <w:szCs w:val="32"/>
        </w:rPr>
        <w:t>第八章</w:t>
      </w:r>
      <w:r>
        <w:rPr>
          <w:rFonts w:ascii="黑体" w:hAnsi="黑体" w:eastAsia="黑体" w:cs="黑体"/>
          <w:b w:val="0"/>
          <w:bCs/>
          <w:color w:val="000000"/>
          <w:sz w:val="32"/>
          <w:szCs w:val="32"/>
        </w:rPr>
        <w:t xml:space="preserve"> </w:t>
      </w:r>
      <w:r>
        <w:rPr>
          <w:rFonts w:hint="eastAsia" w:ascii="黑体" w:hAnsi="黑体" w:eastAsia="黑体" w:cs="黑体"/>
          <w:b w:val="0"/>
          <w:bCs/>
          <w:color w:val="000000"/>
          <w:sz w:val="32"/>
          <w:szCs w:val="32"/>
        </w:rPr>
        <w:t>财务管理</w:t>
      </w:r>
    </w:p>
    <w:p>
      <w:pPr>
        <w:spacing w:line="560" w:lineRule="exact"/>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财务管理包括基金收入管理、支出管理 、会计核算、预算、决算等内容。</w:t>
      </w:r>
    </w:p>
    <w:p>
      <w:pPr>
        <w:spacing w:line="560" w:lineRule="exact"/>
        <w:ind w:firstLine="640" w:firstLineChars="200"/>
        <w:rPr>
          <w:rStyle w:val="54"/>
          <w:rFonts w:hint="default"/>
          <w:b/>
          <w:kern w:val="44"/>
        </w:rPr>
      </w:pPr>
      <w:r>
        <w:rPr>
          <w:rFonts w:hint="eastAsia" w:ascii="黑体" w:hAnsi="黑体" w:eastAsia="黑体" w:cs="黑体"/>
          <w:color w:val="000000"/>
          <w:sz w:val="32"/>
          <w:szCs w:val="32"/>
        </w:rPr>
        <w:t>第一百二十七条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工伤保险基金实行自治区级统筹</w:t>
      </w:r>
      <w:r>
        <w:rPr>
          <w:rStyle w:val="54"/>
          <w:rFonts w:hint="default"/>
        </w:rPr>
        <w:t>。税务部门征收的工伤保险缴费入库级次由市、县（区）级统一调整为自治区级。自治区财政部门原则上按旬以电子划款指令通知国库部门将工伤保险费汇总划转至自治区财政社会保障基金财政专户，形成</w:t>
      </w:r>
      <w:r>
        <w:rPr>
          <w:rFonts w:hint="eastAsia" w:ascii="仿宋_GB2312" w:hAnsi="仿宋_GB2312" w:eastAsia="仿宋_GB2312" w:cs="仿宋_GB2312"/>
          <w:color w:val="000000"/>
          <w:sz w:val="32"/>
          <w:szCs w:val="32"/>
        </w:rPr>
        <w:t>自治区级统筹工伤保险基金收入</w:t>
      </w:r>
      <w:r>
        <w:rPr>
          <w:rStyle w:val="54"/>
          <w:rFonts w:hint="default"/>
        </w:rPr>
        <w:t>。税务部门及时将征收数据发送至社会保险经办机构，定期做好对账工作。</w:t>
      </w:r>
    </w:p>
    <w:p>
      <w:pPr>
        <w:spacing w:line="560" w:lineRule="exact"/>
        <w:ind w:firstLine="640" w:firstLineChars="200"/>
        <w:rPr>
          <w:rFonts w:ascii="仿宋_GB2312" w:eastAsia="仿宋_GB2312"/>
          <w:color w:val="FF0000"/>
          <w:sz w:val="32"/>
          <w:szCs w:val="32"/>
        </w:rPr>
      </w:pPr>
      <w:r>
        <w:rPr>
          <w:rFonts w:hint="eastAsia" w:ascii="黑体" w:hAnsi="黑体" w:eastAsia="黑体" w:cs="黑体"/>
          <w:color w:val="000000"/>
          <w:sz w:val="32"/>
          <w:szCs w:val="32"/>
        </w:rPr>
        <w:t>第一百二十八条</w:t>
      </w:r>
      <w:r>
        <w:rPr>
          <w:rFonts w:hint="eastAsia" w:ascii="仿宋_GB2312" w:hAnsi="仿宋_GB2312" w:eastAsia="仿宋_GB2312" w:cs="仿宋_GB2312"/>
          <w:b/>
          <w:bCs/>
          <w:color w:val="000000"/>
          <w:sz w:val="32"/>
          <w:szCs w:val="32"/>
        </w:rPr>
        <w:t xml:space="preserve"> </w:t>
      </w:r>
      <w:r>
        <w:rPr>
          <w:rStyle w:val="54"/>
          <w:rFonts w:hint="default"/>
        </w:rPr>
        <w:t>各地经办机构根据工伤保险待遇和专项经费支出等情况，会同同级财政部门据实提出本地季度用款计划，由自治区社保局审核汇总后，于每季度最后一个月20日前统一向自治区财政厅提交次季度用款申请。</w:t>
      </w:r>
      <w:r>
        <w:rPr>
          <w:rFonts w:hint="eastAsia" w:ascii="仿宋_GB2312" w:eastAsia="仿宋_GB2312"/>
          <w:color w:val="000000"/>
          <w:sz w:val="32"/>
          <w:szCs w:val="32"/>
        </w:rPr>
        <w:t>自治区财政厅核准后，5个工作日内将所需资金拨付至自治区社保局，自治区社保局在收到资金后 3个工作日内拨付至各市、县（区）经办机构。如遇特殊情况确需追加待遇支出的，仍按原流程提出用款申请。</w:t>
      </w:r>
    </w:p>
    <w:p>
      <w:pPr>
        <w:spacing w:line="560" w:lineRule="exact"/>
        <w:ind w:firstLine="640" w:firstLineChars="200"/>
        <w:rPr>
          <w:rFonts w:ascii="仿宋" w:hAnsi="仿宋" w:eastAsia="仿宋" w:cs="仿宋"/>
          <w:snapToGrid w:val="0"/>
          <w:color w:val="000000"/>
          <w:sz w:val="32"/>
          <w:szCs w:val="32"/>
        </w:rPr>
      </w:pPr>
      <w:r>
        <w:rPr>
          <w:rFonts w:hint="eastAsia" w:ascii="黑体" w:hAnsi="黑体" w:eastAsia="黑体" w:cs="黑体"/>
          <w:color w:val="000000"/>
          <w:sz w:val="32"/>
          <w:szCs w:val="32"/>
        </w:rPr>
        <w:t>第一百二十九条</w:t>
      </w:r>
      <w:r>
        <w:rPr>
          <w:rFonts w:hint="eastAsia" w:ascii="仿宋_GB2312" w:hAnsi="仿宋_GB2312" w:eastAsia="仿宋_GB2312" w:cs="仿宋_GB2312"/>
          <w:b/>
          <w:bCs/>
          <w:color w:val="000000"/>
          <w:sz w:val="32"/>
          <w:szCs w:val="32"/>
        </w:rPr>
        <w:t xml:space="preserve"> </w:t>
      </w:r>
      <w:r>
        <w:rPr>
          <w:rStyle w:val="54"/>
          <w:rFonts w:hint="default"/>
        </w:rPr>
        <w:t>工伤保险基金的会计核算严格执行《社会保险基金财务制度》《社会保险基金会计制度》。</w:t>
      </w:r>
    </w:p>
    <w:p>
      <w:pPr>
        <w:pStyle w:val="14"/>
        <w:spacing w:line="560" w:lineRule="exact"/>
        <w:ind w:firstLine="640"/>
        <w:rPr>
          <w:rFonts w:hint="default" w:ascii="仿宋_GB2312" w:eastAsia="仿宋_GB2312"/>
          <w:color w:val="000000"/>
          <w:sz w:val="32"/>
          <w:szCs w:val="32"/>
        </w:rPr>
      </w:pPr>
      <w:r>
        <w:rPr>
          <w:rFonts w:ascii="黑体" w:hAnsi="黑体" w:eastAsia="黑体" w:cs="黑体"/>
          <w:color w:val="000000"/>
          <w:sz w:val="32"/>
          <w:szCs w:val="32"/>
        </w:rPr>
        <w:t>第一百三十条</w:t>
      </w:r>
      <w:r>
        <w:rPr>
          <w:rFonts w:ascii="仿宋_GB2312" w:eastAsia="仿宋_GB2312"/>
          <w:b/>
          <w:bCs/>
          <w:color w:val="000000"/>
          <w:sz w:val="32"/>
          <w:szCs w:val="32"/>
        </w:rPr>
        <w:t xml:space="preserve"> </w:t>
      </w:r>
      <w:r>
        <w:rPr>
          <w:rFonts w:ascii="仿宋_GB2312" w:eastAsia="仿宋_GB2312"/>
          <w:color w:val="000000"/>
          <w:sz w:val="32"/>
          <w:szCs w:val="32"/>
        </w:rPr>
        <w:t>全区统一编制工伤保险基金预算。各级财政部门牵头做好基金预算工作，各级经办机构按照时间和编制要求及相关因素编制下年度基金预算草案，其中工伤保险费收入预算由经办机构会同税务部门编制，报同级财政部门和行政部门汇总、审核、上报同级人民政府，经同级人大批准后，上报自治区财政厅和自治区社保局。自治区社保局在各地经办机构编制预算的基础上编制下一年度基金支出预算草案，自治区社保局会同宁夏税务局共同编制下一年度基金收入预算草案，经自治区人力资源社会保障厅、财政厅审核汇总，由自治区财政厅、自治区人力资源社会保障厅、宁夏税务局联合报自治区人民政府审定后，报</w:t>
      </w:r>
      <w:r>
        <w:rPr>
          <w:rFonts w:ascii="仿宋_GB2312" w:hAnsi="仿宋_GB2312" w:eastAsia="仿宋_GB2312" w:cs="仿宋_GB2312"/>
          <w:color w:val="000000"/>
          <w:sz w:val="32"/>
          <w:szCs w:val="32"/>
        </w:rPr>
        <w:t>自治区人民代表大会</w:t>
      </w:r>
      <w:r>
        <w:rPr>
          <w:rFonts w:ascii="仿宋_GB2312" w:eastAsia="仿宋_GB2312"/>
          <w:color w:val="000000"/>
          <w:sz w:val="32"/>
          <w:szCs w:val="32"/>
        </w:rPr>
        <w:t>批准。</w:t>
      </w:r>
    </w:p>
    <w:p>
      <w:pPr>
        <w:pStyle w:val="14"/>
        <w:spacing w:line="560" w:lineRule="exact"/>
        <w:ind w:firstLine="640"/>
        <w:rPr>
          <w:rFonts w:hint="default" w:ascii="仿宋_GB2312" w:hAnsi="仿宋_GB2312" w:eastAsia="仿宋_GB2312" w:cs="仿宋_GB2312"/>
          <w:color w:val="000000"/>
          <w:sz w:val="32"/>
          <w:szCs w:val="32"/>
        </w:rPr>
      </w:pPr>
      <w:r>
        <w:rPr>
          <w:rFonts w:ascii="黑体" w:hAnsi="黑体" w:eastAsia="黑体" w:cs="黑体"/>
          <w:color w:val="000000"/>
          <w:sz w:val="32"/>
          <w:szCs w:val="32"/>
        </w:rPr>
        <w:t>第一百三十一条</w:t>
      </w:r>
      <w:r>
        <w:rPr>
          <w:rFonts w:hint="default" w:ascii="黑体" w:hAnsi="黑体" w:eastAsia="黑体" w:cs="黑体"/>
          <w:color w:val="000000"/>
          <w:sz w:val="32"/>
          <w:szCs w:val="32"/>
        </w:rPr>
        <w:t xml:space="preserve"> </w:t>
      </w:r>
      <w:r>
        <w:rPr>
          <w:rFonts w:ascii="仿宋_GB2312" w:hAnsi="仿宋_GB2312" w:eastAsia="仿宋_GB2312" w:cs="仿宋_GB2312"/>
          <w:color w:val="000000"/>
          <w:sz w:val="32"/>
          <w:szCs w:val="32"/>
        </w:rPr>
        <w:t>基金预算不得随意调整。由于执行中特殊情况需要增加或者减少预算总支出的，与预算偏差较大的，由各级经办机构提出基金预算调整方案，由本级社会保险行政部门和财政部门审核汇总后，联合按程序报批。社会保险费收入预算调整方案由经办机构会同税务部门提出。</w:t>
      </w:r>
    </w:p>
    <w:p>
      <w:pPr>
        <w:pStyle w:val="14"/>
        <w:spacing w:line="560" w:lineRule="exact"/>
        <w:ind w:firstLine="640"/>
        <w:rPr>
          <w:rFonts w:hint="default" w:ascii="仿宋_GB2312" w:hAnsi="仿宋_GB2312" w:eastAsia="仿宋_GB2312" w:cs="仿宋_GB2312"/>
          <w:color w:val="000000"/>
          <w:sz w:val="32"/>
          <w:szCs w:val="32"/>
        </w:rPr>
      </w:pPr>
      <w:r>
        <w:rPr>
          <w:rFonts w:ascii="黑体" w:hAnsi="黑体" w:eastAsia="黑体" w:cs="黑体"/>
          <w:color w:val="000000"/>
          <w:sz w:val="32"/>
          <w:szCs w:val="32"/>
        </w:rPr>
        <w:t>第一百三十二条</w:t>
      </w:r>
      <w:r>
        <w:rPr>
          <w:rFonts w:hint="default" w:ascii="黑体" w:hAnsi="黑体" w:eastAsia="黑体" w:cs="黑体"/>
          <w:color w:val="000000"/>
          <w:sz w:val="32"/>
          <w:szCs w:val="32"/>
        </w:rPr>
        <w:t xml:space="preserve"> </w:t>
      </w:r>
      <w:r>
        <w:rPr>
          <w:rFonts w:ascii="仿宋_GB2312" w:hAnsi="仿宋_GB2312" w:eastAsia="仿宋_GB2312" w:cs="仿宋_GB2312"/>
          <w:color w:val="000000"/>
          <w:sz w:val="32"/>
          <w:szCs w:val="32"/>
        </w:rPr>
        <w:t>各地经办机构应及时分析基金预算执行情况，查明收支变化原因，自治区社保局</w:t>
      </w:r>
      <w:r>
        <w:rPr>
          <w:rFonts w:ascii="仿宋_GB2312" w:eastAsia="仿宋_GB2312"/>
          <w:bCs/>
          <w:color w:val="000000"/>
          <w:sz w:val="32"/>
          <w:szCs w:val="32"/>
        </w:rPr>
        <w:t>对各级经办机构预算执行情况进行监控考核和督导监查</w:t>
      </w:r>
      <w:r>
        <w:rPr>
          <w:rFonts w:ascii="仿宋_GB2312" w:hAnsi="仿宋_GB2312" w:eastAsia="仿宋_GB2312" w:cs="仿宋_GB2312"/>
          <w:color w:val="000000"/>
          <w:sz w:val="32"/>
          <w:szCs w:val="32"/>
        </w:rPr>
        <w:t>。每季度末及预算年度终了，各级经办机构应对本年度基金预算执行情况进行分析评估，编制基金预算执行情况报告，并向同级财政部门和社会保险行政部门报告预算执行情况。</w:t>
      </w:r>
    </w:p>
    <w:p>
      <w:pPr>
        <w:pStyle w:val="14"/>
        <w:spacing w:line="560" w:lineRule="exact"/>
        <w:ind w:firstLine="640"/>
        <w:rPr>
          <w:rFonts w:hint="default" w:ascii="仿宋_GB2312" w:eastAsia="仿宋_GB2312"/>
          <w:color w:val="000000"/>
          <w:sz w:val="32"/>
          <w:szCs w:val="32"/>
        </w:rPr>
      </w:pPr>
      <w:r>
        <w:rPr>
          <w:rFonts w:ascii="黑体" w:hAnsi="黑体" w:eastAsia="黑体" w:cs="黑体"/>
          <w:color w:val="000000"/>
          <w:sz w:val="32"/>
          <w:szCs w:val="32"/>
        </w:rPr>
        <w:t>第一百三十三条</w:t>
      </w:r>
      <w:r>
        <w:rPr>
          <w:rFonts w:hint="default" w:ascii="黑体" w:hAnsi="黑体" w:eastAsia="黑体" w:cs="黑体"/>
          <w:color w:val="000000"/>
          <w:sz w:val="32"/>
          <w:szCs w:val="32"/>
        </w:rPr>
        <w:t xml:space="preserve"> </w:t>
      </w:r>
      <w:r>
        <w:rPr>
          <w:rFonts w:ascii="仿宋_GB2312" w:eastAsia="仿宋_GB2312"/>
          <w:color w:val="000000"/>
          <w:sz w:val="32"/>
          <w:szCs w:val="32"/>
        </w:rPr>
        <w:t>自治区社保局指导各地按时完成基金决算编制，各级经办机构按照规定编制基金决算，经同级财政部门和人力资源社会保障行政部门审核汇总、报本级人民政府审定后，提交同级人大常委会审批后，分别报送自治区财政厅和人力资源社会保障厅。自治区人力资源社会保障厅和财政厅审核汇总，由自治区财政厅、人力资源社会保障厅、宁夏税务局联合报自治区人民政府审定后，提交</w:t>
      </w:r>
      <w:r>
        <w:rPr>
          <w:rFonts w:ascii="仿宋_GB2312" w:hAnsi="仿宋_GB2312" w:eastAsia="仿宋_GB2312" w:cs="仿宋_GB2312"/>
          <w:color w:val="000000"/>
          <w:sz w:val="32"/>
          <w:szCs w:val="32"/>
        </w:rPr>
        <w:t>自治区人民代表大会常委会</w:t>
      </w:r>
      <w:r>
        <w:rPr>
          <w:rFonts w:ascii="仿宋_GB2312" w:eastAsia="仿宋_GB2312"/>
          <w:color w:val="000000"/>
          <w:sz w:val="32"/>
          <w:szCs w:val="32"/>
        </w:rPr>
        <w:t>批准。</w:t>
      </w:r>
    </w:p>
    <w:p>
      <w:pPr>
        <w:pStyle w:val="14"/>
        <w:spacing w:line="560" w:lineRule="exact"/>
        <w:ind w:firstLine="640"/>
        <w:rPr>
          <w:rFonts w:hint="default" w:ascii="仿宋_GB2312" w:eastAsia="仿宋_GB2312"/>
          <w:color w:val="000000"/>
          <w:sz w:val="32"/>
          <w:szCs w:val="32"/>
        </w:rPr>
      </w:pPr>
      <w:r>
        <w:rPr>
          <w:rFonts w:ascii="黑体" w:hAnsi="黑体" w:eastAsia="黑体" w:cs="黑体"/>
          <w:color w:val="000000"/>
          <w:sz w:val="32"/>
          <w:szCs w:val="32"/>
        </w:rPr>
        <w:t>第一百三十四条</w:t>
      </w:r>
      <w:r>
        <w:rPr>
          <w:rFonts w:hint="default" w:ascii="黑体" w:hAnsi="黑体" w:eastAsia="黑体" w:cs="黑体"/>
          <w:color w:val="000000"/>
          <w:sz w:val="32"/>
          <w:szCs w:val="32"/>
        </w:rPr>
        <w:t xml:space="preserve"> </w:t>
      </w:r>
      <w:r>
        <w:rPr>
          <w:rFonts w:ascii="仿宋_GB2312" w:hAnsi="仿宋_GB2312" w:eastAsia="仿宋_GB2312" w:cs="仿宋_GB2312"/>
          <w:color w:val="000000"/>
          <w:sz w:val="32"/>
          <w:szCs w:val="32"/>
          <w:lang w:val="en"/>
        </w:rPr>
        <w:t>各级</w:t>
      </w:r>
      <w:r>
        <w:rPr>
          <w:rFonts w:ascii="仿宋_GB2312" w:hAnsi="仿宋_GB2312" w:eastAsia="仿宋_GB2312" w:cs="仿宋_GB2312"/>
          <w:color w:val="000000"/>
          <w:sz w:val="32"/>
          <w:szCs w:val="32"/>
        </w:rPr>
        <w:t>经办机构根据决算编制工作要求，于年度终了前核对各项收支，清理往来款项，同相关部门对账，上缴支出户余额</w:t>
      </w:r>
      <w:r>
        <w:rPr>
          <w:rFonts w:ascii="仿宋" w:hAnsi="仿宋" w:eastAsia="仿宋" w:cs="仿宋"/>
          <w:snapToGrid w:val="0"/>
          <w:color w:val="000000"/>
          <w:sz w:val="32"/>
          <w:szCs w:val="32"/>
        </w:rPr>
        <w:t>，</w:t>
      </w:r>
      <w:r>
        <w:rPr>
          <w:rFonts w:ascii="仿宋_GB2312" w:hAnsi="仿宋_GB2312" w:eastAsia="仿宋_GB2312" w:cs="仿宋_GB2312"/>
          <w:color w:val="000000"/>
          <w:sz w:val="32"/>
          <w:szCs w:val="32"/>
        </w:rPr>
        <w:t>并进行年终结账，分别向同级财政部门和自治区社保局上报决算草案，</w:t>
      </w:r>
      <w:r>
        <w:rPr>
          <w:rFonts w:ascii="仿宋_GB2312" w:eastAsia="仿宋_GB2312"/>
          <w:color w:val="000000"/>
          <w:sz w:val="32"/>
          <w:szCs w:val="32"/>
        </w:rPr>
        <w:t>由同级行政部门、财政部门、税务部门联合报同级人民政府审定后，提交同级人大常委会审查批准。</w:t>
      </w:r>
    </w:p>
    <w:p>
      <w:pPr>
        <w:pStyle w:val="14"/>
        <w:spacing w:line="560" w:lineRule="exact"/>
        <w:ind w:firstLine="640"/>
        <w:rPr>
          <w:rFonts w:hint="default" w:ascii="仿宋_GB2312" w:hAnsi="仿宋_GB2312" w:eastAsia="仿宋_GB2312" w:cs="仿宋_GB2312"/>
          <w:color w:val="000000"/>
          <w:sz w:val="32"/>
          <w:szCs w:val="32"/>
        </w:rPr>
      </w:pPr>
      <w:r>
        <w:rPr>
          <w:rFonts w:ascii="黑体" w:hAnsi="黑体" w:eastAsia="黑体" w:cs="黑体"/>
          <w:color w:val="000000"/>
          <w:sz w:val="32"/>
          <w:szCs w:val="32"/>
        </w:rPr>
        <w:t>第一百三十五条</w:t>
      </w:r>
      <w:r>
        <w:rPr>
          <w:rFonts w:hint="default" w:ascii="黑体" w:hAnsi="黑体" w:eastAsia="黑体" w:cs="黑体"/>
          <w:color w:val="000000"/>
          <w:sz w:val="32"/>
          <w:szCs w:val="32"/>
        </w:rPr>
        <w:t xml:space="preserve"> </w:t>
      </w:r>
      <w:r>
        <w:rPr>
          <w:rFonts w:ascii="仿宋_GB2312" w:hAnsi="仿宋_GB2312" w:eastAsia="仿宋_GB2312" w:cs="仿宋_GB2312"/>
          <w:bCs/>
          <w:color w:val="000000"/>
          <w:sz w:val="32"/>
          <w:szCs w:val="32"/>
        </w:rPr>
        <w:t>自治区社保局</w:t>
      </w:r>
      <w:r>
        <w:rPr>
          <w:rFonts w:ascii="仿宋_GB2312" w:hAnsi="仿宋_GB2312" w:eastAsia="仿宋_GB2312" w:cs="仿宋_GB2312"/>
          <w:color w:val="000000"/>
          <w:sz w:val="32"/>
          <w:szCs w:val="32"/>
        </w:rPr>
        <w:t>根据</w:t>
      </w:r>
      <w:r>
        <w:rPr>
          <w:rFonts w:hint="default" w:ascii="仿宋_GB2312" w:eastAsia="仿宋_GB2312"/>
          <w:color w:val="000000"/>
          <w:sz w:val="32"/>
          <w:szCs w:val="32"/>
        </w:rPr>
        <w:t>《宁夏回族自治区推进完善工伤保险自治区级统筹制度的实施意见》</w:t>
      </w:r>
      <w:r>
        <w:rPr>
          <w:rFonts w:ascii="仿宋_GB2312" w:hAnsi="仿宋_GB2312" w:eastAsia="仿宋_GB2312" w:cs="仿宋_GB2312"/>
          <w:color w:val="000000"/>
          <w:sz w:val="32"/>
          <w:szCs w:val="32"/>
        </w:rPr>
        <w:t>规定的工伤保险储备金提取比例及管理办法预留工伤保险储备金（以下简称储备金），用于各级经办机构支付统筹地区重大工伤事故的工伤待遇。</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w:t>
      </w:r>
      <w:r>
        <w:rPr>
          <w:rFonts w:ascii="黑体" w:hAnsi="黑体" w:eastAsia="黑体" w:cs="黑体"/>
          <w:color w:val="000000"/>
          <w:sz w:val="32"/>
          <w:szCs w:val="32"/>
        </w:rPr>
        <w:t>一百三十</w:t>
      </w:r>
      <w:r>
        <w:rPr>
          <w:rFonts w:hint="eastAsia" w:ascii="黑体" w:hAnsi="黑体" w:eastAsia="黑体" w:cs="黑体"/>
          <w:color w:val="000000"/>
          <w:sz w:val="32"/>
          <w:szCs w:val="32"/>
        </w:rPr>
        <w:t>六条</w:t>
      </w:r>
      <w:r>
        <w:rPr>
          <w:rFonts w:ascii="黑体" w:hAnsi="黑体" w:eastAsia="黑体" w:cs="黑体"/>
          <w:color w:val="000000"/>
          <w:sz w:val="32"/>
          <w:szCs w:val="32"/>
        </w:rPr>
        <w:t xml:space="preserve"> </w:t>
      </w:r>
      <w:r>
        <w:rPr>
          <w:rFonts w:hint="eastAsia" w:ascii="仿宋_GB2312" w:hAnsi="仿宋_GB2312" w:eastAsia="仿宋_GB2312" w:cs="仿宋_GB2312"/>
          <w:bCs/>
          <w:color w:val="000000"/>
          <w:sz w:val="32"/>
          <w:szCs w:val="32"/>
        </w:rPr>
        <w:t>工伤预防费使用实行自治区统一预算管理，自治区社保局</w:t>
      </w:r>
      <w:r>
        <w:rPr>
          <w:rFonts w:hint="eastAsia" w:ascii="仿宋_GB2312" w:hAnsi="仿宋_GB2312" w:eastAsia="仿宋_GB2312" w:cs="仿宋_GB2312"/>
          <w:color w:val="000000"/>
          <w:sz w:val="32"/>
          <w:szCs w:val="32"/>
        </w:rPr>
        <w:t>在确保工伤待遇支付及储备金留存的前提下，按照不超过上年度全区工伤保险基金实际征缴收入的3%提取，列入工伤保险基金年度预算。</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第一百三十七条</w:t>
      </w:r>
      <w:r>
        <w:rPr>
          <w:rFonts w:hint="eastAsia" w:ascii="仿宋_GB2312" w:hAnsi="仿宋_GB2312" w:eastAsia="仿宋_GB2312" w:cs="仿宋_GB2312"/>
          <w:b/>
          <w:bCs/>
          <w:color w:val="000000"/>
          <w:sz w:val="32"/>
          <w:szCs w:val="32"/>
        </w:rPr>
        <w:t xml:space="preserve"> </w:t>
      </w:r>
      <w:r>
        <w:rPr>
          <w:rStyle w:val="54"/>
          <w:rFonts w:hint="default"/>
        </w:rPr>
        <w:t>各市县发生重大工伤事故或导致基金大幅支出的其他情形，当地基金支出账户余额预计不足支付的，由同级社会保险经办机构会同同级财政部门参照正常请款流程（本章财务管理第二条）提出紧急用款申请。</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第一百三十八条</w:t>
      </w:r>
      <w:r>
        <w:rPr>
          <w:rFonts w:ascii="黑体" w:hAnsi="黑体" w:eastAsia="黑体" w:cs="黑体"/>
          <w:color w:val="000000"/>
          <w:sz w:val="32"/>
          <w:szCs w:val="32"/>
        </w:rPr>
        <w:t xml:space="preserve"> </w:t>
      </w:r>
      <w:r>
        <w:rPr>
          <w:rFonts w:hint="eastAsia" w:ascii="仿宋_GB2312" w:eastAsia="仿宋_GB2312"/>
          <w:color w:val="000000"/>
          <w:sz w:val="32"/>
          <w:szCs w:val="32"/>
        </w:rPr>
        <w:t>各级经办机构应按规定及时编报社会保险基金财务报表：每月</w:t>
      </w:r>
      <w:r>
        <w:rPr>
          <w:rFonts w:hint="eastAsia" w:ascii="仿宋_GB2312" w:eastAsia="仿宋_GB2312"/>
          <w:bCs/>
          <w:color w:val="000000"/>
          <w:sz w:val="32"/>
          <w:szCs w:val="32"/>
        </w:rPr>
        <w:t>5</w:t>
      </w:r>
      <w:r>
        <w:rPr>
          <w:rFonts w:hint="eastAsia" w:ascii="仿宋_GB2312" w:eastAsia="仿宋_GB2312"/>
          <w:color w:val="000000"/>
          <w:sz w:val="32"/>
          <w:szCs w:val="32"/>
        </w:rPr>
        <w:t>日前报上月月报表，每季首月</w:t>
      </w:r>
      <w:r>
        <w:rPr>
          <w:rFonts w:hint="eastAsia" w:ascii="仿宋_GB2312" w:hAnsi="TimesNewRomanPSMT" w:eastAsia="仿宋_GB2312"/>
          <w:color w:val="000000"/>
          <w:sz w:val="32"/>
          <w:szCs w:val="32"/>
        </w:rPr>
        <w:t>15</w:t>
      </w:r>
      <w:r>
        <w:rPr>
          <w:rFonts w:hint="eastAsia" w:ascii="仿宋_GB2312" w:eastAsia="仿宋_GB2312"/>
          <w:color w:val="000000"/>
          <w:sz w:val="32"/>
          <w:szCs w:val="32"/>
        </w:rPr>
        <w:t>日前报上季季报表，每年</w:t>
      </w:r>
      <w:r>
        <w:rPr>
          <w:rFonts w:hint="eastAsia" w:ascii="仿宋_GB2312" w:hAnsi="TimesNewRomanPSMT" w:eastAsia="仿宋_GB2312"/>
          <w:color w:val="000000"/>
          <w:sz w:val="32"/>
          <w:szCs w:val="32"/>
        </w:rPr>
        <w:t>1</w:t>
      </w:r>
      <w:r>
        <w:rPr>
          <w:rFonts w:hint="eastAsia" w:ascii="仿宋_GB2312" w:eastAsia="仿宋_GB2312"/>
          <w:color w:val="000000"/>
          <w:sz w:val="32"/>
          <w:szCs w:val="32"/>
        </w:rPr>
        <w:t>月</w:t>
      </w:r>
      <w:r>
        <w:rPr>
          <w:rFonts w:hint="eastAsia" w:ascii="仿宋_GB2312" w:hAnsi="TimesNewRomanPSMT" w:eastAsia="仿宋_GB2312"/>
          <w:color w:val="000000"/>
          <w:sz w:val="32"/>
          <w:szCs w:val="32"/>
        </w:rPr>
        <w:t>20</w:t>
      </w:r>
      <w:r>
        <w:rPr>
          <w:rFonts w:hint="eastAsia" w:ascii="仿宋_GB2312" w:eastAsia="仿宋_GB2312"/>
          <w:color w:val="000000"/>
          <w:sz w:val="32"/>
          <w:szCs w:val="32"/>
        </w:rPr>
        <w:t>日前报上年年度报表。其中编报季报和年报时应附编报说明和基金运行分析。</w:t>
      </w:r>
    </w:p>
    <w:p>
      <w:pPr>
        <w:pStyle w:val="2"/>
        <w:spacing w:before="0" w:after="0" w:line="560" w:lineRule="exact"/>
        <w:jc w:val="center"/>
        <w:rPr>
          <w:rFonts w:ascii="黑体" w:hAnsi="黑体" w:eastAsia="黑体" w:cs="黑体"/>
          <w:b w:val="0"/>
          <w:bCs/>
          <w:color w:val="000000"/>
          <w:sz w:val="32"/>
          <w:szCs w:val="32"/>
        </w:rPr>
      </w:pPr>
      <w:bookmarkStart w:id="15" w:name="_Toc89785125"/>
    </w:p>
    <w:p>
      <w:pPr>
        <w:pStyle w:val="2"/>
        <w:spacing w:before="0" w:after="0" w:line="560" w:lineRule="exact"/>
        <w:jc w:val="center"/>
        <w:rPr>
          <w:rFonts w:ascii="黑体" w:hAnsi="黑体" w:eastAsia="黑体" w:cs="黑体"/>
          <w:b w:val="0"/>
          <w:bCs/>
          <w:color w:val="000000"/>
          <w:sz w:val="32"/>
          <w:szCs w:val="32"/>
        </w:rPr>
      </w:pPr>
      <w:r>
        <w:rPr>
          <w:rFonts w:hint="eastAsia" w:ascii="黑体" w:hAnsi="黑体" w:eastAsia="黑体" w:cs="黑体"/>
          <w:b w:val="0"/>
          <w:bCs/>
          <w:color w:val="000000"/>
          <w:sz w:val="32"/>
          <w:szCs w:val="32"/>
        </w:rPr>
        <w:t>第九章</w:t>
      </w:r>
      <w:r>
        <w:rPr>
          <w:rFonts w:ascii="黑体" w:hAnsi="黑体" w:eastAsia="黑体" w:cs="黑体"/>
          <w:b w:val="0"/>
          <w:bCs/>
          <w:color w:val="000000"/>
          <w:sz w:val="32"/>
          <w:szCs w:val="32"/>
        </w:rPr>
        <w:t xml:space="preserve"> </w:t>
      </w:r>
      <w:r>
        <w:rPr>
          <w:rFonts w:hint="eastAsia" w:ascii="黑体" w:hAnsi="黑体" w:eastAsia="黑体" w:cs="黑体"/>
          <w:b w:val="0"/>
          <w:bCs/>
          <w:color w:val="000000"/>
          <w:sz w:val="32"/>
          <w:szCs w:val="32"/>
        </w:rPr>
        <w:t>信息管理</w:t>
      </w:r>
      <w:bookmarkEnd w:id="15"/>
    </w:p>
    <w:p>
      <w:pPr>
        <w:pStyle w:val="3"/>
        <w:spacing w:before="0" w:after="0" w:line="560" w:lineRule="exact"/>
        <w:jc w:val="center"/>
        <w:rPr>
          <w:rFonts w:ascii="宋体" w:hAnsi="宋体" w:eastAsia="宋体" w:cs="宋体"/>
          <w:color w:val="000000"/>
          <w:szCs w:val="32"/>
        </w:rPr>
      </w:pPr>
    </w:p>
    <w:p>
      <w:pPr>
        <w:ind w:firstLine="640" w:firstLineChars="200"/>
        <w:rPr>
          <w:rFonts w:ascii="仿宋_GB2312" w:eastAsia="仿宋_GB2312"/>
          <w:sz w:val="32"/>
          <w:szCs w:val="32"/>
        </w:rPr>
      </w:pPr>
      <w:r>
        <w:rPr>
          <w:rFonts w:hint="eastAsia" w:ascii="仿宋_GB2312" w:eastAsia="仿宋_GB2312"/>
          <w:sz w:val="32"/>
          <w:szCs w:val="32"/>
        </w:rPr>
        <w:t>信息管理包括统计和信息系统建设等内容。</w:t>
      </w:r>
    </w:p>
    <w:p>
      <w:pPr>
        <w:ind w:firstLine="640" w:firstLineChars="200"/>
        <w:rPr>
          <w:rFonts w:ascii="仿宋_GB2312" w:eastAsia="仿宋_GB2312"/>
          <w:sz w:val="32"/>
          <w:szCs w:val="32"/>
        </w:rPr>
      </w:pPr>
    </w:p>
    <w:p>
      <w:pPr>
        <w:pStyle w:val="3"/>
        <w:spacing w:before="0" w:after="0" w:line="560" w:lineRule="exact"/>
        <w:jc w:val="center"/>
        <w:rPr>
          <w:rFonts w:ascii="仿宋_GB2312" w:hAnsi="仿宋_GB2312" w:eastAsia="仿宋_GB2312" w:cs="仿宋_GB2312"/>
          <w:color w:val="000000"/>
          <w:szCs w:val="32"/>
        </w:rPr>
      </w:pPr>
      <w:r>
        <w:rPr>
          <w:rFonts w:hint="eastAsia" w:ascii="宋体" w:hAnsi="宋体" w:eastAsia="宋体" w:cs="宋体"/>
          <w:color w:val="000000"/>
          <w:szCs w:val="32"/>
        </w:rPr>
        <w:t>第一节</w:t>
      </w:r>
      <w:r>
        <w:rPr>
          <w:rFonts w:ascii="宋体" w:hAnsi="宋体" w:eastAsia="宋体" w:cs="宋体"/>
          <w:color w:val="000000"/>
          <w:szCs w:val="32"/>
        </w:rPr>
        <w:t xml:space="preserve"> </w:t>
      </w:r>
      <w:r>
        <w:rPr>
          <w:rFonts w:hint="eastAsia" w:ascii="宋体" w:hAnsi="宋体" w:eastAsia="宋体" w:cs="宋体"/>
          <w:color w:val="000000"/>
          <w:szCs w:val="32"/>
        </w:rPr>
        <w:t>统计</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第一百三十九条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各级经办机构应按照统计工作制度，依法依规开展统计调查和统计分析，依照“谁产生、谁负责”的原则，全面、真实、科学、审慎和及时开展统计工作，提供统计资料和统计服务，加强数据全流程质量控制，实行统计监督，防范统计造假和弄虚作假。</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第一百四十条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各级经办机构</w:t>
      </w:r>
      <w:r>
        <w:rPr>
          <w:rFonts w:hint="eastAsia" w:ascii="仿宋_GB2312" w:hAnsi="仿宋_GB2312" w:eastAsia="仿宋_GB2312" w:cs="仿宋_GB2312"/>
          <w:color w:val="000000"/>
          <w:sz w:val="32"/>
          <w:szCs w:val="32"/>
          <w:lang w:val="en"/>
        </w:rPr>
        <w:t>要配备专职或兼职统计人员，做好工伤保险统计各项工作，</w:t>
      </w:r>
      <w:r>
        <w:rPr>
          <w:rFonts w:hint="eastAsia" w:ascii="仿宋_GB2312" w:hAnsi="仿宋_GB2312" w:eastAsia="仿宋_GB2312" w:cs="仿宋_GB2312"/>
          <w:color w:val="000000"/>
          <w:sz w:val="32"/>
          <w:szCs w:val="32"/>
        </w:rPr>
        <w:t>严格按照数据报送流程，加强数据完整性、规范性、时效性、一致性、准确性、逻辑性及合理性审核，按照统计报表报送时限要求，按时</w:t>
      </w:r>
      <w:r>
        <w:rPr>
          <w:rFonts w:hint="eastAsia" w:ascii="仿宋_GB2312" w:hAnsi="仿宋_GB2312" w:eastAsia="仿宋_GB2312" w:cs="仿宋_GB2312"/>
          <w:color w:val="000000"/>
          <w:sz w:val="32"/>
          <w:szCs w:val="32"/>
          <w:lang w:val="en"/>
        </w:rPr>
        <w:t>逐级审核上报统计报表</w:t>
      </w:r>
      <w:r>
        <w:rPr>
          <w:rFonts w:hint="eastAsia" w:ascii="仿宋_GB2312" w:hAnsi="仿宋_GB2312" w:eastAsia="仿宋_GB2312" w:cs="仿宋_GB2312"/>
          <w:color w:val="000000"/>
          <w:sz w:val="32"/>
          <w:szCs w:val="32"/>
        </w:rPr>
        <w:t xml:space="preserve">。各项统计数据应来源于全区统一的信息系统。 </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第一百四十一条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各级经办机构应加强对统计数据的解读，强化数据比对分析，定期开展工伤保险运行情况分析及专题分析，结合工作实际开展工伤保险精算分析，提出专业结论和政策建议。</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第一百四十二条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各级经办机构应建立统计档案，整理保存管理各类统计资料，定期向社会公布工伤保险参保情况等信息。</w:t>
      </w:r>
    </w:p>
    <w:p>
      <w:pPr>
        <w:pStyle w:val="3"/>
        <w:spacing w:before="0" w:after="0" w:line="560" w:lineRule="exact"/>
        <w:jc w:val="center"/>
        <w:rPr>
          <w:rFonts w:ascii="宋体" w:hAnsi="宋体" w:eastAsia="宋体" w:cs="宋体"/>
          <w:color w:val="000000"/>
          <w:szCs w:val="32"/>
        </w:rPr>
      </w:pPr>
    </w:p>
    <w:p>
      <w:pPr>
        <w:pStyle w:val="3"/>
        <w:spacing w:before="0" w:after="0" w:line="560" w:lineRule="exact"/>
        <w:jc w:val="center"/>
        <w:rPr>
          <w:rFonts w:ascii="宋体" w:hAnsi="宋体" w:eastAsia="宋体" w:cs="宋体"/>
          <w:color w:val="000000"/>
          <w:szCs w:val="32"/>
        </w:rPr>
      </w:pPr>
      <w:r>
        <w:rPr>
          <w:rFonts w:hint="eastAsia" w:ascii="宋体" w:hAnsi="宋体" w:eastAsia="宋体" w:cs="宋体"/>
          <w:color w:val="000000"/>
          <w:szCs w:val="32"/>
        </w:rPr>
        <w:t>第二节</w:t>
      </w:r>
      <w:r>
        <w:rPr>
          <w:rFonts w:ascii="宋体" w:hAnsi="宋体" w:eastAsia="宋体" w:cs="宋体"/>
          <w:color w:val="000000"/>
          <w:szCs w:val="32"/>
        </w:rPr>
        <w:t xml:space="preserve"> </w:t>
      </w:r>
      <w:r>
        <w:rPr>
          <w:rFonts w:hint="eastAsia" w:ascii="宋体" w:hAnsi="宋体" w:eastAsia="宋体" w:cs="宋体"/>
          <w:color w:val="000000"/>
          <w:szCs w:val="32"/>
        </w:rPr>
        <w:t>信息系统</w:t>
      </w:r>
    </w:p>
    <w:p>
      <w:pPr>
        <w:spacing w:line="560" w:lineRule="exact"/>
        <w:ind w:firstLine="640"/>
        <w:rPr>
          <w:rFonts w:ascii="黑体" w:hAnsi="黑体" w:eastAsia="黑体" w:cs="黑体"/>
          <w:color w:val="000000"/>
          <w:sz w:val="32"/>
          <w:szCs w:val="32"/>
        </w:rPr>
      </w:pPr>
    </w:p>
    <w:p>
      <w:pPr>
        <w:spacing w:line="560" w:lineRule="exact"/>
        <w:ind w:firstLine="64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第一百四十三条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lang w:val="en"/>
        </w:rPr>
        <w:t>自治区人力资源和社会保障厅负责全区人社一体化和公共服务系统工伤保险功能板块的建设实施和运维管理。</w:t>
      </w:r>
      <w:r>
        <w:rPr>
          <w:rFonts w:hint="eastAsia" w:ascii="仿宋_GB2312" w:hAnsi="仿宋_GB2312" w:eastAsia="仿宋_GB2312" w:cs="仿宋_GB2312"/>
          <w:color w:val="000000"/>
          <w:sz w:val="32"/>
          <w:szCs w:val="32"/>
        </w:rPr>
        <w:t>按照本规程制定的业务流程，建立、完善工伤保险各项系统经办功能，</w:t>
      </w:r>
      <w:r>
        <w:rPr>
          <w:rFonts w:hint="eastAsia" w:ascii="仿宋_GB2312" w:hAnsi="仿宋_GB2312" w:eastAsia="仿宋_GB2312" w:cs="仿宋_GB2312"/>
          <w:color w:val="000000"/>
          <w:sz w:val="32"/>
          <w:szCs w:val="32"/>
          <w:lang w:val="en"/>
        </w:rPr>
        <w:t>加强信息化管理，确保系统和数据安全。</w:t>
      </w:r>
      <w:r>
        <w:rPr>
          <w:rFonts w:hint="eastAsia" w:ascii="仿宋_GB2312" w:hAnsi="仿宋_GB2312" w:eastAsia="仿宋_GB2312" w:cs="仿宋_GB2312"/>
          <w:color w:val="000000"/>
          <w:sz w:val="32"/>
          <w:szCs w:val="32"/>
        </w:rPr>
        <w:t>做好系统运维保障各项工作，及时处理各级经办机构提出的系统问题和需求，做好数据维护、迁移等。</w:t>
      </w:r>
    </w:p>
    <w:p>
      <w:pPr>
        <w:spacing w:line="560" w:lineRule="exact"/>
        <w:ind w:firstLine="64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第一百四十四条</w:t>
      </w:r>
      <w:r>
        <w:rPr>
          <w:rFonts w:hint="eastAsia" w:ascii="仿宋_GB2312" w:hAnsi="仿宋_GB2312" w:eastAsia="仿宋_GB2312" w:cs="仿宋_GB2312"/>
          <w:color w:val="000000"/>
          <w:sz w:val="32"/>
          <w:szCs w:val="32"/>
        </w:rPr>
        <w:t xml:space="preserve"> 各级经办机构应做好数据采集、审核、保管、维护、查询、使用、比对、交换、备份、保密、安全等管理工作。按照“谁经办、谁负责”的原则，对经办服务中产生的所有数据信息和资料的真实性、完整性、准确性、有效性、合法性负责。依据工作实际，按照信息化管理要求和审核流程提交系统需求。</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第一百四十五条</w:t>
      </w:r>
      <w:r>
        <w:rPr>
          <w:rFonts w:hint="eastAsia" w:ascii="仿宋_GB2312" w:hAnsi="仿宋_GB2312" w:eastAsia="仿宋_GB2312" w:cs="仿宋_GB2312"/>
          <w:color w:val="000000"/>
          <w:sz w:val="32"/>
          <w:szCs w:val="32"/>
        </w:rPr>
        <w:t xml:space="preserve"> 通过信息共享机制获取的各类信息，</w:t>
      </w:r>
      <w:r>
        <w:rPr>
          <w:rFonts w:hint="eastAsia" w:ascii="仿宋_GB2312" w:hAnsi="仿宋_GB2312" w:eastAsia="仿宋_GB2312" w:cs="仿宋_GB2312"/>
          <w:color w:val="000000"/>
          <w:sz w:val="32"/>
          <w:szCs w:val="32"/>
          <w:lang w:val="en"/>
        </w:rPr>
        <w:t>各级</w:t>
      </w:r>
      <w:r>
        <w:rPr>
          <w:rFonts w:hint="eastAsia" w:ascii="仿宋_GB2312" w:hAnsi="仿宋_GB2312" w:eastAsia="仿宋_GB2312" w:cs="仿宋_GB2312"/>
          <w:color w:val="000000"/>
          <w:sz w:val="32"/>
          <w:szCs w:val="32"/>
        </w:rPr>
        <w:t>经办机构可作为社会保险登记、工伤待遇审核与社会保险稽核等工作的信息比对依据。</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第一百四十六条</w:t>
      </w:r>
      <w:r>
        <w:rPr>
          <w:rFonts w:ascii="黑体" w:hAnsi="黑体" w:eastAsia="黑体" w:cs="黑体"/>
          <w:color w:val="000000"/>
          <w:sz w:val="32"/>
          <w:szCs w:val="32"/>
          <w:lang w:val="en"/>
        </w:rPr>
        <w:t xml:space="preserve"> </w:t>
      </w:r>
      <w:r>
        <w:rPr>
          <w:rFonts w:ascii="仿宋_GB2312" w:eastAsia="仿宋_GB2312"/>
          <w:color w:val="000000"/>
          <w:sz w:val="32"/>
          <w:szCs w:val="32"/>
        </w:rPr>
        <w:t>自治区社保局</w:t>
      </w:r>
      <w:r>
        <w:rPr>
          <w:rFonts w:hint="eastAsia" w:ascii="仿宋_GB2312" w:hAnsi="仿宋_GB2312" w:eastAsia="仿宋_GB2312" w:cs="仿宋_GB2312"/>
          <w:color w:val="000000"/>
          <w:sz w:val="32"/>
          <w:szCs w:val="32"/>
        </w:rPr>
        <w:t>会同人社信息部门按照国家</w:t>
      </w:r>
      <w:r>
        <w:rPr>
          <w:rFonts w:ascii="仿宋_GB2312" w:hAnsi="仿宋_GB2312" w:eastAsia="仿宋_GB2312" w:cs="仿宋_GB2312"/>
          <w:color w:val="000000"/>
          <w:sz w:val="32"/>
          <w:szCs w:val="32"/>
        </w:rPr>
        <w:t>关于开展工伤保险联网指标上报工作的有关规定</w:t>
      </w:r>
      <w:r>
        <w:rPr>
          <w:rFonts w:hint="eastAsia" w:ascii="仿宋_GB2312" w:hAnsi="仿宋_GB2312" w:eastAsia="仿宋_GB2312" w:cs="仿宋_GB2312"/>
          <w:color w:val="000000"/>
          <w:sz w:val="32"/>
          <w:szCs w:val="32"/>
          <w:vertAlign w:val="superscript"/>
        </w:rPr>
        <w:t>17 18</w:t>
      </w:r>
      <w:r>
        <w:rPr>
          <w:rFonts w:ascii="仿宋_GB2312" w:hAnsi="仿宋_GB2312" w:eastAsia="仿宋_GB2312" w:cs="仿宋_GB2312"/>
          <w:color w:val="000000"/>
          <w:sz w:val="32"/>
          <w:szCs w:val="32"/>
        </w:rPr>
        <w:t>，开展</w:t>
      </w:r>
      <w:r>
        <w:rPr>
          <w:rFonts w:hint="eastAsia" w:ascii="仿宋_GB2312" w:hAnsi="仿宋_GB2312" w:eastAsia="仿宋_GB2312" w:cs="仿宋_GB2312"/>
          <w:color w:val="000000"/>
          <w:sz w:val="32"/>
          <w:szCs w:val="32"/>
        </w:rPr>
        <w:t>数据采集、审核、转换以及数据质量检查，并及时报送联网数据和数据质量检查表。加强数据比对，提高联网数据与统计数据、基金数据等同口径、同指标数据的一致性。</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第一百四十七条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各级经办机构需严格按照实名制管理要求，规范信息系统权限管理。系统管理员、操作系统的经办工作人员发生变动、岗位调整（辞职，转岗，离职，退休）等情况，应及时申请授权或除权。因未及时申请、调整导致系统或基金安全事故的，由相关经办机构承担相关责任。</w:t>
      </w:r>
    </w:p>
    <w:p>
      <w:pPr>
        <w:pStyle w:val="2"/>
        <w:spacing w:before="0" w:after="0" w:line="560" w:lineRule="exact"/>
        <w:jc w:val="center"/>
        <w:rPr>
          <w:rFonts w:ascii="黑体" w:hAnsi="黑体" w:eastAsia="黑体" w:cs="黑体"/>
          <w:b w:val="0"/>
          <w:bCs/>
          <w:color w:val="000000"/>
          <w:sz w:val="32"/>
          <w:szCs w:val="32"/>
        </w:rPr>
      </w:pPr>
      <w:bookmarkStart w:id="16" w:name="_Toc89785126"/>
    </w:p>
    <w:p>
      <w:pPr>
        <w:pStyle w:val="2"/>
        <w:spacing w:before="0" w:after="0" w:line="560" w:lineRule="exact"/>
        <w:jc w:val="center"/>
        <w:rPr>
          <w:rFonts w:ascii="黑体" w:hAnsi="黑体" w:eastAsia="黑体" w:cs="黑体"/>
          <w:b w:val="0"/>
          <w:bCs/>
          <w:color w:val="000000"/>
          <w:sz w:val="32"/>
          <w:szCs w:val="32"/>
        </w:rPr>
      </w:pPr>
      <w:r>
        <w:rPr>
          <w:rFonts w:hint="eastAsia" w:ascii="黑体" w:hAnsi="黑体" w:eastAsia="黑体" w:cs="黑体"/>
          <w:b w:val="0"/>
          <w:bCs/>
          <w:color w:val="000000"/>
          <w:sz w:val="32"/>
          <w:szCs w:val="32"/>
        </w:rPr>
        <w:t>第十章</w:t>
      </w:r>
      <w:r>
        <w:rPr>
          <w:rFonts w:ascii="黑体" w:hAnsi="黑体" w:eastAsia="黑体" w:cs="黑体"/>
          <w:b w:val="0"/>
          <w:bCs/>
          <w:color w:val="000000"/>
          <w:sz w:val="32"/>
          <w:szCs w:val="32"/>
        </w:rPr>
        <w:t xml:space="preserve"> </w:t>
      </w:r>
      <w:r>
        <w:rPr>
          <w:rFonts w:hint="eastAsia" w:ascii="黑体" w:hAnsi="黑体" w:eastAsia="黑体" w:cs="黑体"/>
          <w:b w:val="0"/>
          <w:bCs/>
          <w:color w:val="000000"/>
          <w:sz w:val="32"/>
          <w:szCs w:val="32"/>
        </w:rPr>
        <w:t>稽核内控</w:t>
      </w:r>
      <w:bookmarkEnd w:id="16"/>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第一百四十八条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各级经办机构应按照《社会保险稽核办法》和国家及自治区关于</w:t>
      </w:r>
      <w:r>
        <w:rPr>
          <w:rFonts w:ascii="仿宋_GB2312" w:hAnsi="仿宋_GB2312" w:eastAsia="仿宋_GB2312" w:cs="仿宋_GB2312"/>
          <w:color w:val="000000"/>
          <w:sz w:val="32"/>
          <w:szCs w:val="32"/>
        </w:rPr>
        <w:t>加强社会保险基金管理风险防控工作的相关规定</w:t>
      </w:r>
      <w:r>
        <w:rPr>
          <w:rFonts w:hint="eastAsia" w:ascii="仿宋_GB2312" w:hAnsi="仿宋_GB2312" w:eastAsia="仿宋_GB2312" w:cs="仿宋_GB2312"/>
          <w:color w:val="000000"/>
          <w:sz w:val="32"/>
          <w:szCs w:val="32"/>
        </w:rPr>
        <w:t>建立健全工伤保险风险管理体系。</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第一百四十九条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工伤保险稽核内容包括：</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（一）用人单位依法办理工伤保险参保登记情况；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（二）享受工伤保险待遇人员待遇领取情况；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（三）工伤保险协议机构履行协议、执行费用结算项目和标准情况。</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第一百五十条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稽核部门应当执行社会保险稽核制度，采取日常稽核、重点稽核、举报稽核、数据稽核等方式进行。</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第一百五十一条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经办机构应制定年度核查计划，定期对本级及下级经办业务进行日常核查。</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第一百五十二条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经办机构应以社会保险稽核通知书形式，对发现的重点问题线索实施重点稽核。必要时，可以委托第三方专业机构进行核查。</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第一百五十三条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对于违规领取工伤保险待遇的行为，任何单位和个人有权举报，经办机构应当及时受理举报并进行稽核。</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第一百五十四条</w:t>
      </w:r>
      <w:r>
        <w:rPr>
          <w:rFonts w:hint="eastAsia" w:ascii="仿宋_GB2312" w:hAnsi="仿宋_GB2312" w:eastAsia="仿宋_GB2312" w:cs="仿宋_GB2312"/>
          <w:b/>
          <w:bCs/>
          <w:color w:val="000000"/>
          <w:sz w:val="32"/>
          <w:szCs w:val="32"/>
        </w:rPr>
        <w:t xml:space="preserve"> </w:t>
      </w:r>
      <w:r>
        <w:rPr>
          <w:rFonts w:hint="eastAsia" w:ascii="仿宋_GB2312" w:hAnsi="仿宋_GB2312" w:eastAsia="仿宋_GB2312" w:cs="仿宋_GB2312"/>
          <w:bCs/>
          <w:color w:val="000000"/>
          <w:sz w:val="32"/>
          <w:szCs w:val="32"/>
        </w:rPr>
        <w:t>自治区</w:t>
      </w:r>
      <w:r>
        <w:rPr>
          <w:rFonts w:hint="eastAsia" w:ascii="仿宋_GB2312" w:hAnsi="仿宋_GB2312" w:eastAsia="仿宋_GB2312" w:cs="仿宋_GB2312"/>
          <w:color w:val="000000"/>
          <w:sz w:val="32"/>
          <w:szCs w:val="32"/>
        </w:rPr>
        <w:t>社保局应当及时更新一体化系统中数据稽核规则库，通过跨部门、跨险种数据筛查比对，形成疑点数据信息，组织实施数据稽核。</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第一百五十五条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经办机构应按以下情形对稽核中发现的问题进行分类处理：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（一）对经办操作导致数据错误的，按程序进行修改；</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未办理社会保险登记的用人单位，报请社会保险行政部门督促其参保登记；被稽核对象未登记、少报、瞒报缴费基数和缴费人数的，应责令其补足，逾期未主动整改的，经办机构应将稽核结论发送社会保险费征收机构；拒不改正的，报请社会保险行政部门依法处罚；</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（三）对违规参保的，按有关政策规定进行处理；对不符合待遇领取条件的，应立即停止待遇支付并责令退还；拒不退还的，移交社会保险行政部门依法处理；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工伤保险协议机构违反服务协议，以欺诈、伪造证明资料、医疗文书或其他手段骗取基金的，暂停直接责任人为参保人员服务的资格，暂停或解除工伤保险协议机构服务协议，涉嫌违法的，报请社会保险行政部门处理。</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第一百五十六条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自治区经办机构应以信息系统管控为核心，将政策性校验规则、逻辑校验规则等风险防控措施嵌入业务信息系统，实现事前预防控制、事中核验比对、事后稽核检查全流程管控。</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第一百五十七条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lang w:val="en"/>
        </w:rPr>
        <w:t>各级</w:t>
      </w:r>
      <w:r>
        <w:rPr>
          <w:rFonts w:hint="eastAsia" w:ascii="仿宋_GB2312" w:hAnsi="仿宋_GB2312" w:eastAsia="仿宋_GB2312" w:cs="仿宋_GB2312"/>
          <w:color w:val="000000"/>
          <w:sz w:val="32"/>
          <w:szCs w:val="32"/>
        </w:rPr>
        <w:t>经办机构应加强权限管理，严格落实岗位不相容原则，确保岗位权责分明、相互制约。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经办机构应实行业务风险分级管理，明确各项业务的风险等级和审批层级，各项业务必须在系统中留痕可溯。</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第一百五十八条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内部控制的主要内容包括：</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（一）内部风险控制制度的制定和执行情况；</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（二）核定和执行浮动费率的程序、标准的合规性及准确性；</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（三）工伤待遇支付监督包含工伤登记及变动等资料的真实性和完整性，工伤待遇审核支付管理的合规性，工伤待遇项目和标准支付的合法性与准确性；</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（四）财务监督包含检查工伤保险基金收入、支出凭证，会计账簿，核对账证是否相符；</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（五）工伤保险</w:t>
      </w:r>
      <w:r>
        <w:rPr>
          <w:rFonts w:ascii="仿宋_GB2312" w:hAnsi="仿宋_GB2312" w:eastAsia="仿宋_GB2312" w:cs="仿宋_GB2312"/>
          <w:color w:val="000000"/>
          <w:sz w:val="32"/>
          <w:szCs w:val="32"/>
          <w:lang w:val="en"/>
        </w:rPr>
        <w:t>基金支出的</w:t>
      </w:r>
      <w:r>
        <w:rPr>
          <w:rFonts w:hint="eastAsia" w:ascii="仿宋_GB2312" w:hAnsi="仿宋_GB2312" w:eastAsia="仿宋_GB2312" w:cs="仿宋_GB2312"/>
          <w:color w:val="000000"/>
          <w:sz w:val="32"/>
          <w:szCs w:val="32"/>
        </w:rPr>
        <w:t>专项经费使用范围、预算、程序、要求是否符合规定；</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（六）服务协议机构管理监控包含是否按照规定与工伤保险协议机构签订服务协议、开展医疗监管、对履行服务协议进行考核和监督；</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（七）信息系统各业务环节系统权限设置是否合规；</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（八）自治区社保局规定需内部监督的其他内容。</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第一百五十九条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内部监督的主要方法包括检查核对法、抽查法、面询法、网上监督法。</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负责稽核工作</w:t>
      </w:r>
      <w:r>
        <w:rPr>
          <w:rFonts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rPr>
        <w:t>部门对内部监督中发现的问题提出整改意见，并跟踪监督落实情况。</w:t>
      </w:r>
    </w:p>
    <w:p>
      <w:pPr>
        <w:pStyle w:val="2"/>
        <w:spacing w:before="0" w:after="0" w:line="560" w:lineRule="exact"/>
        <w:jc w:val="center"/>
        <w:rPr>
          <w:rFonts w:ascii="黑体" w:hAnsi="黑体" w:eastAsia="黑体" w:cs="黑体"/>
          <w:b w:val="0"/>
          <w:bCs/>
          <w:color w:val="000000"/>
          <w:sz w:val="32"/>
          <w:szCs w:val="32"/>
        </w:rPr>
      </w:pPr>
      <w:bookmarkStart w:id="17" w:name="_Toc89785127"/>
    </w:p>
    <w:p>
      <w:pPr>
        <w:pStyle w:val="2"/>
        <w:spacing w:before="0" w:after="0" w:line="560" w:lineRule="exact"/>
        <w:jc w:val="center"/>
        <w:rPr>
          <w:rFonts w:ascii="黑体" w:hAnsi="黑体" w:eastAsia="黑体" w:cs="黑体"/>
          <w:b w:val="0"/>
          <w:bCs/>
          <w:color w:val="000000"/>
          <w:sz w:val="32"/>
          <w:szCs w:val="32"/>
        </w:rPr>
      </w:pPr>
      <w:r>
        <w:rPr>
          <w:rFonts w:hint="eastAsia" w:ascii="黑体" w:hAnsi="黑体" w:eastAsia="黑体" w:cs="黑体"/>
          <w:b w:val="0"/>
          <w:bCs/>
          <w:color w:val="000000"/>
          <w:sz w:val="32"/>
          <w:szCs w:val="32"/>
        </w:rPr>
        <w:t>第十一章</w:t>
      </w:r>
      <w:r>
        <w:rPr>
          <w:rFonts w:ascii="黑体" w:hAnsi="黑体" w:eastAsia="黑体" w:cs="黑体"/>
          <w:b w:val="0"/>
          <w:bCs/>
          <w:color w:val="000000"/>
          <w:sz w:val="32"/>
          <w:szCs w:val="32"/>
        </w:rPr>
        <w:t xml:space="preserve"> </w:t>
      </w:r>
      <w:r>
        <w:rPr>
          <w:rFonts w:hint="eastAsia" w:ascii="黑体" w:hAnsi="黑体" w:eastAsia="黑体" w:cs="黑体"/>
          <w:b w:val="0"/>
          <w:bCs/>
          <w:color w:val="000000"/>
          <w:sz w:val="32"/>
          <w:szCs w:val="32"/>
        </w:rPr>
        <w:t>权益记录与服务</w:t>
      </w:r>
      <w:bookmarkEnd w:id="17"/>
    </w:p>
    <w:p>
      <w:pPr>
        <w:spacing w:line="560" w:lineRule="exact"/>
        <w:ind w:firstLine="640" w:firstLineChars="200"/>
        <w:rPr>
          <w:rFonts w:ascii="仿宋_GB2312" w:hAnsi="仿宋_GB2312" w:eastAsia="仿宋_GB2312" w:cs="仿宋_GB2312"/>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权益记录与服务包括记录与查询、业务档案等内容。</w:t>
      </w:r>
    </w:p>
    <w:p>
      <w:pPr>
        <w:pStyle w:val="3"/>
        <w:spacing w:before="0" w:after="0" w:line="560" w:lineRule="exact"/>
        <w:jc w:val="center"/>
        <w:rPr>
          <w:rFonts w:ascii="宋体" w:hAnsi="宋体" w:eastAsia="宋体" w:cs="宋体"/>
          <w:color w:val="000000"/>
          <w:szCs w:val="32"/>
        </w:rPr>
      </w:pPr>
    </w:p>
    <w:p>
      <w:pPr>
        <w:pStyle w:val="3"/>
        <w:spacing w:before="0" w:after="0" w:line="560" w:lineRule="exact"/>
        <w:jc w:val="center"/>
        <w:rPr>
          <w:rFonts w:ascii="仿宋_GB2312" w:hAnsi="仿宋_GB2312" w:eastAsia="仿宋_GB2312" w:cs="仿宋_GB2312"/>
          <w:color w:val="000000"/>
          <w:szCs w:val="32"/>
        </w:rPr>
      </w:pPr>
      <w:r>
        <w:rPr>
          <w:rFonts w:hint="eastAsia" w:ascii="宋体" w:hAnsi="宋体" w:eastAsia="宋体" w:cs="宋体"/>
          <w:color w:val="000000"/>
          <w:szCs w:val="32"/>
        </w:rPr>
        <w:t>第一节</w:t>
      </w:r>
      <w:r>
        <w:rPr>
          <w:rFonts w:ascii="宋体" w:hAnsi="宋体" w:eastAsia="宋体" w:cs="宋体"/>
          <w:color w:val="000000"/>
          <w:szCs w:val="32"/>
        </w:rPr>
        <w:t xml:space="preserve"> </w:t>
      </w:r>
      <w:r>
        <w:rPr>
          <w:rFonts w:hint="eastAsia" w:ascii="宋体" w:hAnsi="宋体" w:eastAsia="宋体" w:cs="宋体"/>
          <w:color w:val="000000"/>
          <w:szCs w:val="32"/>
        </w:rPr>
        <w:t>记录与查询</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Style w:val="54"/>
          <w:rFonts w:hint="default" w:hAnsi="Arial"/>
          <w:b/>
          <w:kern w:val="44"/>
        </w:rPr>
      </w:pPr>
      <w:r>
        <w:rPr>
          <w:rFonts w:hint="eastAsia" w:ascii="黑体" w:hAnsi="黑体" w:eastAsia="黑体" w:cs="黑体"/>
          <w:color w:val="000000"/>
          <w:sz w:val="32"/>
          <w:szCs w:val="32"/>
        </w:rPr>
        <w:t>第一百六十条</w:t>
      </w:r>
      <w:r>
        <w:rPr>
          <w:rFonts w:ascii="黑体" w:hAnsi="黑体" w:eastAsia="黑体" w:cs="黑体"/>
        </w:rPr>
        <w:t xml:space="preserve"> </w:t>
      </w:r>
      <w:r>
        <w:rPr>
          <w:rStyle w:val="54"/>
          <w:rFonts w:hint="default"/>
        </w:rPr>
        <w:t>工伤保险个人权益记录，是指以纸质材料和电子数据等载体记录的反映参保人员及其用人单位履行工伤保险义务、享受工伤保险权益状况的信息，包括下列内容：</w:t>
      </w:r>
      <w:r>
        <w:rPr>
          <w:rFonts w:hint="eastAsia" w:ascii="仿宋_GB2312" w:eastAsia="仿宋_GB2312"/>
          <w:color w:val="000000"/>
          <w:sz w:val="32"/>
          <w:szCs w:val="32"/>
        </w:rPr>
        <w:br w:type="textWrapping"/>
      </w:r>
      <w:r>
        <w:rPr>
          <w:rStyle w:val="54"/>
          <w:rFonts w:hint="default"/>
        </w:rPr>
        <w:t xml:space="preserve">    （一）参保人员及用人单位工伤保险登记信息；</w:t>
      </w:r>
      <w:r>
        <w:rPr>
          <w:rFonts w:hint="eastAsia" w:ascii="仿宋_GB2312" w:eastAsia="仿宋_GB2312"/>
          <w:color w:val="000000"/>
          <w:sz w:val="32"/>
          <w:szCs w:val="32"/>
        </w:rPr>
        <w:br w:type="textWrapping"/>
      </w:r>
      <w:r>
        <w:rPr>
          <w:rStyle w:val="54"/>
          <w:rFonts w:hint="default"/>
        </w:rPr>
        <w:t xml:space="preserve">    （二）参保人员及其用人单位缴纳工伤保险费信息；</w:t>
      </w:r>
      <w:r>
        <w:rPr>
          <w:rFonts w:hint="eastAsia" w:ascii="仿宋_GB2312" w:eastAsia="仿宋_GB2312"/>
          <w:color w:val="000000"/>
          <w:sz w:val="32"/>
          <w:szCs w:val="32"/>
        </w:rPr>
        <w:br w:type="textWrapping"/>
      </w:r>
      <w:r>
        <w:rPr>
          <w:rStyle w:val="54"/>
          <w:rFonts w:hint="default"/>
        </w:rPr>
        <w:t xml:space="preserve">    （三）参保人员享受工伤保险待遇资格及领取待遇的信息；</w:t>
      </w:r>
      <w:r>
        <w:rPr>
          <w:rFonts w:hint="eastAsia" w:ascii="仿宋_GB2312" w:eastAsia="仿宋_GB2312"/>
          <w:color w:val="000000"/>
          <w:sz w:val="32"/>
          <w:szCs w:val="32"/>
        </w:rPr>
        <w:br w:type="textWrapping"/>
      </w:r>
      <w:r>
        <w:rPr>
          <w:rStyle w:val="54"/>
          <w:rFonts w:hint="default"/>
        </w:rPr>
        <w:t xml:space="preserve">    （四）参保人员缴费年限；</w:t>
      </w:r>
      <w:r>
        <w:rPr>
          <w:rFonts w:hint="eastAsia" w:ascii="仿宋_GB2312" w:eastAsia="仿宋_GB2312"/>
          <w:color w:val="000000"/>
          <w:sz w:val="32"/>
          <w:szCs w:val="32"/>
        </w:rPr>
        <w:br w:type="textWrapping"/>
      </w:r>
      <w:r>
        <w:rPr>
          <w:rStyle w:val="54"/>
          <w:rFonts w:hint="default"/>
        </w:rPr>
        <w:t xml:space="preserve">    （五）其他反映工伤保险个人权益的信息。</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第一百六十一条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参保职工可通过“我的宁夏”手机A</w:t>
      </w:r>
      <w:r>
        <w:rPr>
          <w:rFonts w:ascii="仿宋_GB2312" w:hAnsi="仿宋_GB2312" w:eastAsia="仿宋_GB2312" w:cs="仿宋_GB2312"/>
          <w:color w:val="000000"/>
          <w:sz w:val="32"/>
          <w:szCs w:val="32"/>
        </w:rPr>
        <w:t>PP</w:t>
      </w:r>
      <w:r>
        <w:rPr>
          <w:rFonts w:hint="eastAsia" w:ascii="仿宋_GB2312" w:hAnsi="仿宋_GB2312" w:eastAsia="仿宋_GB2312" w:cs="仿宋_GB2312"/>
          <w:color w:val="000000"/>
          <w:sz w:val="32"/>
          <w:szCs w:val="32"/>
        </w:rPr>
        <w:t>查询工伤保险参保、享受工伤保险待遇资格及领取待遇信息。参保单位可通过公共服务系统进行查询。</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参保单位或职工需要书面查询单位或个人权益记录的，经办机构应按规定提供，或指导单位和职工通过手机应用和公共服务系统进行查询打印。</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参保单位或职工对社会保险单位或个人权益记录存在异议时，可以向经办机构提出核查申请，并提供相关证明材料，经办机构应按规定进行复核，确实存在错误的，应当纠正。</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第一百六十二条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经办机构对参保职工的个人权益记录承担保密责任，不得违法泄露。</w:t>
      </w:r>
    </w:p>
    <w:p>
      <w:pPr>
        <w:spacing w:line="560" w:lineRule="exact"/>
        <w:ind w:firstLine="640" w:firstLineChars="200"/>
        <w:rPr>
          <w:rStyle w:val="54"/>
          <w:rFonts w:hint="default" w:ascii="黑体" w:hAnsi="黑体" w:eastAsia="黑体"/>
        </w:rPr>
      </w:pPr>
      <w:r>
        <w:rPr>
          <w:rFonts w:hint="eastAsia" w:ascii="黑体" w:hAnsi="黑体" w:eastAsia="黑体" w:cs="黑体"/>
          <w:color w:val="000000"/>
          <w:sz w:val="32"/>
          <w:szCs w:val="32"/>
        </w:rPr>
        <w:t>第一百六十三条</w:t>
      </w:r>
      <w:r>
        <w:rPr>
          <w:rFonts w:ascii="黑体" w:hAnsi="黑体" w:eastAsia="黑体" w:cs="黑体"/>
        </w:rPr>
        <w:t xml:space="preserve"> </w:t>
      </w:r>
      <w:r>
        <w:rPr>
          <w:rStyle w:val="54"/>
          <w:rFonts w:hint="default"/>
        </w:rPr>
        <w:t>司法机关、有关行政部门等因履行工作职责，依法需要查询工伤保险个人权益记录的，社会保险经办机构按规定提供查询服务。</w:t>
      </w:r>
      <w:r>
        <w:rPr>
          <w:rFonts w:hint="eastAsia" w:ascii="仿宋_GB2312" w:eastAsia="仿宋_GB2312"/>
          <w:color w:val="000000"/>
          <w:sz w:val="32"/>
          <w:szCs w:val="32"/>
        </w:rPr>
        <w:br w:type="textWrapping"/>
      </w:r>
      <w:r>
        <w:rPr>
          <w:rStyle w:val="54"/>
          <w:rFonts w:hint="default"/>
          <w:b/>
          <w:bCs/>
        </w:rPr>
        <w:t xml:space="preserve">   </w:t>
      </w:r>
      <w:r>
        <w:rPr>
          <w:rFonts w:ascii="黑体" w:hAnsi="黑体" w:eastAsia="黑体" w:cs="黑体"/>
        </w:rPr>
        <w:t xml:space="preserve"> </w:t>
      </w:r>
      <w:r>
        <w:rPr>
          <w:rFonts w:hint="eastAsia" w:ascii="黑体" w:hAnsi="黑体" w:eastAsia="黑体" w:cs="黑体"/>
          <w:color w:val="000000"/>
          <w:sz w:val="32"/>
          <w:szCs w:val="32"/>
        </w:rPr>
        <w:t>第一百六十四条</w:t>
      </w:r>
      <w:r>
        <w:rPr>
          <w:rFonts w:cs="黑体"/>
        </w:rPr>
        <w:t xml:space="preserve"> </w:t>
      </w:r>
      <w:r>
        <w:rPr>
          <w:rStyle w:val="54"/>
          <w:rFonts w:hint="default"/>
        </w:rPr>
        <w:t>其他申请查询工伤保险个人权益记录的单位，应当向社会保险经办机构提出书面申请。申请应当包括下列内容</w:t>
      </w:r>
      <w:r>
        <w:rPr>
          <w:rStyle w:val="37"/>
        </w:rPr>
        <w:t>:</w:t>
      </w:r>
      <w:r>
        <w:rPr>
          <w:rFonts w:ascii="TimesNewRomanPSMT" w:hAnsi="TimesNewRomanPSMT"/>
          <w:color w:val="000000"/>
          <w:sz w:val="32"/>
          <w:szCs w:val="32"/>
        </w:rPr>
        <w:br w:type="textWrapping"/>
      </w:r>
      <w:r>
        <w:rPr>
          <w:rStyle w:val="54"/>
          <w:rFonts w:hint="default"/>
        </w:rPr>
        <w:t xml:space="preserve">    （一）申请单位的有效证明文件、单位名称、联系方式；</w:t>
      </w:r>
      <w:r>
        <w:rPr>
          <w:rFonts w:hint="eastAsia" w:ascii="仿宋_GB2312" w:eastAsia="仿宋_GB2312"/>
          <w:color w:val="000000"/>
          <w:sz w:val="32"/>
          <w:szCs w:val="32"/>
        </w:rPr>
        <w:br w:type="textWrapping"/>
      </w:r>
      <w:r>
        <w:rPr>
          <w:rStyle w:val="54"/>
          <w:rFonts w:hint="default"/>
        </w:rPr>
        <w:t xml:space="preserve">    （二）查询目的和法律依据；</w:t>
      </w:r>
      <w:r>
        <w:rPr>
          <w:rFonts w:hint="eastAsia" w:ascii="仿宋_GB2312" w:eastAsia="仿宋_GB2312"/>
          <w:color w:val="000000"/>
          <w:sz w:val="32"/>
          <w:szCs w:val="32"/>
        </w:rPr>
        <w:br w:type="textWrapping"/>
      </w:r>
      <w:r>
        <w:rPr>
          <w:rStyle w:val="54"/>
          <w:rFonts w:hint="default"/>
        </w:rPr>
        <w:t xml:space="preserve">    （三）查询的内容。</w:t>
      </w:r>
      <w:r>
        <w:rPr>
          <w:rFonts w:hint="eastAsia" w:ascii="仿宋_GB2312" w:eastAsia="仿宋_GB2312"/>
          <w:color w:val="000000"/>
          <w:sz w:val="32"/>
          <w:szCs w:val="32"/>
        </w:rPr>
        <w:br w:type="textWrapping"/>
      </w:r>
      <w:r>
        <w:rPr>
          <w:rStyle w:val="39"/>
          <w:rFonts w:hint="default"/>
        </w:rPr>
        <w:t xml:space="preserve">    </w:t>
      </w:r>
      <w:r>
        <w:rPr>
          <w:rFonts w:hint="eastAsia" w:ascii="黑体" w:hAnsi="黑体" w:eastAsia="黑体" w:cs="黑体"/>
          <w:color w:val="000000"/>
          <w:sz w:val="32"/>
          <w:szCs w:val="32"/>
        </w:rPr>
        <w:t>第一百六十五条</w:t>
      </w:r>
      <w:r>
        <w:rPr>
          <w:rStyle w:val="54"/>
          <w:rFonts w:hint="default"/>
        </w:rPr>
        <w:t xml:space="preserve"> 经办机构收到依前条规定提出的查询申请后，应当进行审核，并按照下列情形分别作出处理：</w:t>
      </w:r>
      <w:r>
        <w:rPr>
          <w:rFonts w:hint="eastAsia" w:ascii="仿宋_GB2312" w:eastAsia="仿宋_GB2312"/>
          <w:color w:val="000000"/>
          <w:sz w:val="32"/>
          <w:szCs w:val="32"/>
        </w:rPr>
        <w:br w:type="textWrapping"/>
      </w:r>
      <w:r>
        <w:rPr>
          <w:rStyle w:val="54"/>
          <w:rFonts w:hint="default"/>
        </w:rPr>
        <w:t xml:space="preserve">    （一）对依法应当予以提供的，按照规定程序提供；</w:t>
      </w:r>
      <w:r>
        <w:rPr>
          <w:rFonts w:hint="eastAsia" w:ascii="仿宋_GB2312" w:eastAsia="仿宋_GB2312"/>
          <w:color w:val="000000"/>
          <w:sz w:val="32"/>
          <w:szCs w:val="32"/>
        </w:rPr>
        <w:br w:type="textWrapping"/>
      </w:r>
      <w:r>
        <w:rPr>
          <w:rStyle w:val="54"/>
          <w:rFonts w:hint="default"/>
        </w:rPr>
        <w:t xml:space="preserve">    （二）对无法律依据的，应当向申请人作出说明。</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第一百六十六条</w:t>
      </w:r>
      <w:r>
        <w:rPr>
          <w:rFonts w:cs="黑体"/>
        </w:rPr>
        <w:t xml:space="preserve"> </w:t>
      </w:r>
      <w:r>
        <w:rPr>
          <w:rStyle w:val="54"/>
          <w:rFonts w:hint="default"/>
        </w:rPr>
        <w:t>经办机构应当对除参保人员本人及其用人单位以外的其他单位查询工伤保险个人权益记录的情况进行登记。</w:t>
      </w:r>
    </w:p>
    <w:p>
      <w:pPr>
        <w:spacing w:line="560" w:lineRule="exact"/>
        <w:ind w:firstLine="640" w:firstLineChars="200"/>
        <w:rPr>
          <w:rFonts w:ascii="仿宋_GB2312" w:hAnsi="仿宋_GB2312" w:eastAsia="仿宋_GB2312" w:cs="仿宋_GB2312"/>
          <w:color w:val="000000"/>
          <w:sz w:val="32"/>
          <w:szCs w:val="32"/>
        </w:rPr>
      </w:pPr>
    </w:p>
    <w:p>
      <w:pPr>
        <w:pStyle w:val="3"/>
        <w:spacing w:before="0" w:after="0" w:line="560" w:lineRule="exact"/>
        <w:jc w:val="center"/>
        <w:rPr>
          <w:rFonts w:ascii="仿宋_GB2312" w:hAnsi="仿宋_GB2312" w:eastAsia="仿宋_GB2312" w:cs="仿宋_GB2312"/>
          <w:color w:val="000000"/>
          <w:szCs w:val="32"/>
        </w:rPr>
      </w:pPr>
      <w:r>
        <w:rPr>
          <w:rFonts w:hint="eastAsia" w:ascii="宋体" w:hAnsi="宋体" w:eastAsia="宋体" w:cs="宋体"/>
          <w:color w:val="000000"/>
          <w:szCs w:val="32"/>
        </w:rPr>
        <w:t>第二节</w:t>
      </w:r>
      <w:r>
        <w:rPr>
          <w:rFonts w:ascii="宋体" w:hAnsi="宋体" w:eastAsia="宋体" w:cs="宋体"/>
          <w:color w:val="000000"/>
          <w:szCs w:val="32"/>
        </w:rPr>
        <w:t xml:space="preserve"> </w:t>
      </w:r>
      <w:r>
        <w:rPr>
          <w:rFonts w:hint="eastAsia" w:ascii="宋体" w:hAnsi="宋体" w:eastAsia="宋体" w:cs="宋体"/>
          <w:color w:val="000000"/>
          <w:szCs w:val="32"/>
        </w:rPr>
        <w:t>业务档案</w:t>
      </w:r>
    </w:p>
    <w:p>
      <w:pPr>
        <w:spacing w:line="560" w:lineRule="exact"/>
        <w:ind w:firstLine="640" w:firstLineChars="200"/>
        <w:rPr>
          <w:rFonts w:ascii="黑体" w:hAnsi="黑体" w:eastAsia="黑体" w:cs="黑体"/>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第一百六十七条</w:t>
      </w:r>
      <w:r>
        <w:rPr>
          <w:rFonts w:hint="eastAsia"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工伤保险业务档案（以下简称业务档案），是指经办机构在办理工伤保险业务过程中，直接形成的具有保存和利用价值的专业性文字材料、电子文档、图表、声像等不同载体的历史记录。</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第一百六十八条</w:t>
      </w:r>
      <w:r>
        <w:rPr>
          <w:rFonts w:ascii="黑体" w:hAnsi="黑体" w:eastAsia="黑体" w:cs="黑体"/>
          <w:color w:val="000000"/>
          <w:sz w:val="32"/>
          <w:szCs w:val="32"/>
        </w:rPr>
        <w:t xml:space="preserve"> </w:t>
      </w:r>
      <w:r>
        <w:rPr>
          <w:rFonts w:hint="eastAsia" w:ascii="仿宋_GB2312" w:eastAsia="仿宋_GB2312"/>
          <w:color w:val="000000"/>
          <w:sz w:val="32"/>
          <w:szCs w:val="32"/>
        </w:rPr>
        <w:t>经办机构应成立档案管理部门或指定专人负责社保业务档案管理工作。指导、培训各业务部门开展业务材料的收集、整理和立卷。并负责业务档案的归档、保管、鉴定、销毁、统计、利用和移交等工作。</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第一百六十九条</w:t>
      </w:r>
      <w:r>
        <w:rPr>
          <w:rFonts w:hint="eastAsia" w:ascii="仿宋_GB2312" w:eastAsia="仿宋_GB2312"/>
          <w:b/>
          <w:color w:val="000000"/>
          <w:sz w:val="32"/>
          <w:szCs w:val="32"/>
        </w:rPr>
        <w:t xml:space="preserve"> </w:t>
      </w:r>
      <w:r>
        <w:rPr>
          <w:rFonts w:hint="eastAsia" w:ascii="仿宋_GB2312" w:eastAsia="仿宋_GB2312"/>
          <w:color w:val="000000"/>
          <w:sz w:val="32"/>
          <w:szCs w:val="32"/>
        </w:rPr>
        <w:t>经办机构业务部门应明确一名档案管理联络员，协调对接档案管理部门相关工作。指导业务经办人员按档案管理规范和标准对本部门业务材料进行收集、扫描、整理和立卷。</w:t>
      </w:r>
    </w:p>
    <w:p>
      <w:pPr>
        <w:spacing w:line="560" w:lineRule="exact"/>
        <w:ind w:firstLine="640" w:firstLineChars="200"/>
        <w:rPr>
          <w:rFonts w:ascii="仿宋_GB2312" w:eastAsia="仿宋_GB2312"/>
          <w:color w:val="000000"/>
          <w:sz w:val="32"/>
          <w:szCs w:val="32"/>
        </w:rPr>
      </w:pPr>
      <w:r>
        <w:rPr>
          <w:rFonts w:hint="eastAsia" w:ascii="黑体" w:hAnsi="黑体" w:eastAsia="黑体" w:cs="黑体"/>
          <w:color w:val="000000"/>
          <w:sz w:val="32"/>
          <w:szCs w:val="32"/>
        </w:rPr>
        <w:t>第一百七十条</w:t>
      </w:r>
      <w:r>
        <w:rPr>
          <w:rFonts w:ascii="黑体" w:hAnsi="黑体" w:eastAsia="黑体" w:cs="黑体"/>
          <w:color w:val="000000"/>
          <w:sz w:val="32"/>
          <w:szCs w:val="32"/>
        </w:rPr>
        <w:t xml:space="preserve"> </w:t>
      </w:r>
      <w:r>
        <w:rPr>
          <w:rFonts w:hint="eastAsia" w:ascii="仿宋_GB2312" w:eastAsia="仿宋_GB2312"/>
          <w:color w:val="000000"/>
          <w:sz w:val="32"/>
          <w:szCs w:val="32"/>
        </w:rPr>
        <w:t>业务档案的收集：业务档案遵循“谁经办谁收集”“边经办、边收集”的原则。社保业务档案按件收集和扫描，以业务人员每经办一笔业务形成的材料为一件。收集时按“业务用表在前，审核凭证在后，重要凭证在前，次要凭证在后”的顺序排列。一体化系统电子档案功能支持同步进行电子档案整理，上线前的档案按照原档案方式保存管理。</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第一百七十一条</w:t>
      </w:r>
      <w:r>
        <w:rPr>
          <w:rFonts w:ascii="黑体" w:hAnsi="黑体" w:eastAsia="黑体" w:cs="黑体"/>
          <w:color w:val="000000"/>
          <w:sz w:val="32"/>
          <w:szCs w:val="32"/>
        </w:rPr>
        <w:t xml:space="preserve"> </w:t>
      </w:r>
      <w:r>
        <w:rPr>
          <w:rFonts w:hint="eastAsia" w:ascii="仿宋_GB2312" w:hAnsi="仿宋_GB2312" w:eastAsia="仿宋_GB2312" w:cs="仿宋_GB2312"/>
          <w:color w:val="000000"/>
          <w:sz w:val="32"/>
          <w:szCs w:val="32"/>
        </w:rPr>
        <w:t>档案管理部门应按照业务档案保管、保密、利用、移交、鉴定、销毁等管理要求，保证业务档案妥善保管、有序存放，严防毁损、遗失和泄密。</w:t>
      </w:r>
    </w:p>
    <w:p>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档案管理部门对经过鉴定可以销毁的档案，编制销毁清册，按程序报社会保险行政部门备案后销毁。</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第一百七十二条</w:t>
      </w:r>
      <w:r>
        <w:rPr>
          <w:rFonts w:hint="eastAsia"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业务档案的保管期限分为永久和定期两类，各类业务档案的具体保管期限按照《社会保险业务档案管理规定(试行)》中的《社会保险业务材料归档范围与保管期限》执行。</w:t>
      </w:r>
    </w:p>
    <w:p>
      <w:pPr>
        <w:spacing w:line="560" w:lineRule="exact"/>
        <w:ind w:firstLine="640" w:firstLineChars="200"/>
        <w:rPr>
          <w:rFonts w:ascii="仿宋_GB2312" w:hAnsi="仿宋_GB2312" w:eastAsia="仿宋_GB2312" w:cs="仿宋_GB2312"/>
          <w:color w:val="000000"/>
          <w:sz w:val="32"/>
          <w:szCs w:val="32"/>
          <w:lang w:val="en"/>
        </w:rPr>
      </w:pPr>
      <w:r>
        <w:rPr>
          <w:rFonts w:hint="eastAsia" w:ascii="黑体" w:hAnsi="黑体" w:eastAsia="黑体" w:cs="黑体"/>
          <w:color w:val="000000"/>
          <w:sz w:val="32"/>
          <w:szCs w:val="32"/>
        </w:rPr>
        <w:t>第一百七十三条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经办机构应对业务档案进行影像化处理，实行档案数字化管理。</w:t>
      </w:r>
      <w:r>
        <w:rPr>
          <w:rFonts w:hint="eastAsia" w:ascii="仿宋_GB2312" w:hAnsi="仿宋_GB2312" w:eastAsia="仿宋_GB2312" w:cs="仿宋_GB2312"/>
          <w:color w:val="000000"/>
          <w:sz w:val="32"/>
          <w:szCs w:val="32"/>
          <w:lang w:val="en"/>
        </w:rPr>
        <w:t>基金会计档案按照会计档案管理规定执行。</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第一百七十四条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经办机构各部门按照关于社会保险业务档案管理的相关规定</w:t>
      </w:r>
      <w:r>
        <w:rPr>
          <w:rFonts w:hint="eastAsia" w:ascii="仿宋_GB2312" w:hAnsi="仿宋_GB2312" w:eastAsia="仿宋_GB2312" w:cs="仿宋_GB2312"/>
          <w:color w:val="000000"/>
          <w:sz w:val="32"/>
          <w:szCs w:val="32"/>
          <w:vertAlign w:val="superscript"/>
        </w:rPr>
        <w:t>19 20 21</w:t>
      </w:r>
      <w:r>
        <w:rPr>
          <w:rFonts w:hint="eastAsia" w:ascii="仿宋_GB2312" w:hAnsi="仿宋_GB2312" w:eastAsia="仿宋_GB2312" w:cs="仿宋_GB2312"/>
          <w:color w:val="000000"/>
          <w:sz w:val="32"/>
          <w:szCs w:val="32"/>
        </w:rPr>
        <w:t>，及时对业务文件材料进行收集、整理、立卷、归档，确保业务档案齐全、完整、有效，并定期移交档案部门。</w:t>
      </w:r>
    </w:p>
    <w:p>
      <w:pPr>
        <w:pStyle w:val="17"/>
        <w:shd w:val="clear" w:color="auto" w:fill="FFFFFF"/>
        <w:spacing w:before="0" w:beforeAutospacing="0" w:after="0" w:afterAutospacing="0" w:line="560" w:lineRule="exact"/>
        <w:ind w:firstLine="480"/>
        <w:jc w:val="center"/>
        <w:outlineLvl w:val="0"/>
        <w:rPr>
          <w:rFonts w:ascii="黑体" w:hAnsi="黑体" w:eastAsia="黑体" w:cs="黑体"/>
          <w:bCs/>
          <w:color w:val="000000"/>
          <w:sz w:val="32"/>
          <w:szCs w:val="32"/>
        </w:rPr>
      </w:pPr>
    </w:p>
    <w:p>
      <w:pPr>
        <w:pStyle w:val="17"/>
        <w:shd w:val="clear" w:color="auto" w:fill="FFFFFF"/>
        <w:spacing w:before="0" w:beforeAutospacing="0" w:after="0" w:afterAutospacing="0" w:line="560" w:lineRule="exact"/>
        <w:ind w:firstLine="480"/>
        <w:jc w:val="center"/>
        <w:outlineLvl w:val="0"/>
        <w:rPr>
          <w:rFonts w:ascii="黑体" w:hAnsi="黑体" w:eastAsia="黑体" w:cs="黑体"/>
          <w:bCs/>
          <w:color w:val="000000"/>
          <w:sz w:val="32"/>
          <w:szCs w:val="32"/>
        </w:rPr>
      </w:pPr>
      <w:r>
        <w:rPr>
          <w:rFonts w:hint="eastAsia" w:ascii="黑体" w:hAnsi="黑体" w:eastAsia="黑体" w:cs="黑体"/>
          <w:bCs/>
          <w:color w:val="000000"/>
          <w:sz w:val="32"/>
          <w:szCs w:val="32"/>
        </w:rPr>
        <w:t>第十二章</w:t>
      </w:r>
      <w:r>
        <w:rPr>
          <w:rFonts w:ascii="黑体" w:hAnsi="黑体" w:eastAsia="黑体" w:cs="黑体"/>
          <w:bCs/>
          <w:color w:val="000000"/>
          <w:sz w:val="32"/>
          <w:szCs w:val="32"/>
        </w:rPr>
        <w:t xml:space="preserve">  </w:t>
      </w:r>
      <w:r>
        <w:rPr>
          <w:rFonts w:hint="eastAsia" w:ascii="黑体" w:hAnsi="黑体" w:eastAsia="黑体" w:cs="黑体"/>
          <w:bCs/>
          <w:color w:val="000000"/>
          <w:sz w:val="32"/>
          <w:szCs w:val="32"/>
        </w:rPr>
        <w:t>附则</w:t>
      </w:r>
    </w:p>
    <w:p>
      <w:pPr>
        <w:pStyle w:val="17"/>
        <w:shd w:val="clear" w:color="auto" w:fill="FFFFFF"/>
        <w:spacing w:before="0" w:beforeAutospacing="0" w:after="0" w:afterAutospacing="0" w:line="560" w:lineRule="exact"/>
        <w:ind w:firstLine="480"/>
        <w:jc w:val="center"/>
        <w:outlineLvl w:val="0"/>
        <w:rPr>
          <w:rFonts w:ascii="黑体" w:hAnsi="黑体" w:eastAsia="黑体" w:cs="黑体"/>
          <w:bCs/>
          <w:color w:val="000000"/>
          <w:sz w:val="32"/>
          <w:szCs w:val="32"/>
        </w:rPr>
      </w:pP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第一百七十五条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在自治区内合法就业的外籍人员、港澳台地区居民分别按照《在中国境内就业的外国人参加社会保险暂行办法》和《台湾、香港、澳门居民在内地就业管理规定》等有关规定依法参加工伤保险，相关业务参照本规程经办。</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第一百七十六条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本规程由自治区人力资源社会保障厅、自治区社会保险事业管理局负责解释。</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第一百七十七条</w:t>
      </w:r>
      <w:r>
        <w:rPr>
          <w:rFonts w:ascii="仿宋_GB2312" w:hAnsi="仿宋_GB2312" w:eastAsia="仿宋_GB2312" w:cs="仿宋_GB2312"/>
          <w:color w:val="000000"/>
          <w:sz w:val="32"/>
          <w:szCs w:val="32"/>
          <w:lang w:val="en"/>
        </w:rPr>
        <w:t xml:space="preserve"> </w:t>
      </w:r>
      <w:r>
        <w:rPr>
          <w:rFonts w:hint="eastAsia" w:ascii="仿宋_GB2312" w:hAnsi="仿宋_GB2312" w:eastAsia="仿宋_GB2312" w:cs="仿宋_GB2312"/>
          <w:color w:val="000000"/>
          <w:sz w:val="32"/>
          <w:szCs w:val="32"/>
        </w:rPr>
        <w:t>本规程自2024年1月1日起施行。</w:t>
      </w:r>
      <w:r>
        <w:rPr>
          <w:rFonts w:ascii="仿宋_GB2312" w:hAnsi="仿宋_GB2312" w:eastAsia="仿宋_GB2312" w:cs="仿宋_GB2312"/>
          <w:bCs/>
          <w:color w:val="000000"/>
          <w:sz w:val="32"/>
          <w:szCs w:val="32"/>
        </w:rPr>
        <w:t>项目参保职工</w:t>
      </w:r>
      <w:r>
        <w:rPr>
          <w:rFonts w:hint="eastAsia" w:ascii="仿宋_GB2312" w:hAnsi="仿宋_GB2312" w:eastAsia="仿宋_GB2312" w:cs="仿宋_GB2312"/>
          <w:bCs/>
          <w:color w:val="000000"/>
          <w:sz w:val="32"/>
          <w:szCs w:val="32"/>
        </w:rPr>
        <w:t>发生工伤时间在本规程实施后（含当日）的，按照本规程的规定核定工伤保险待遇。</w:t>
      </w:r>
    </w:p>
    <w:p>
      <w:pPr>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黑体"/>
          <w:color w:val="000000"/>
          <w:sz w:val="32"/>
          <w:szCs w:val="32"/>
        </w:rPr>
        <w:t>第一百七十八条</w:t>
      </w:r>
      <w:r>
        <w:rPr>
          <w:rFonts w:ascii="黑体" w:hAnsi="黑体" w:eastAsia="黑体" w:cs="黑体"/>
          <w:color w:val="000000"/>
          <w:sz w:val="32"/>
          <w:szCs w:val="32"/>
          <w:lang w:val="en"/>
        </w:rPr>
        <w:t xml:space="preserve"> </w:t>
      </w:r>
      <w:r>
        <w:rPr>
          <w:rFonts w:hint="eastAsia" w:ascii="仿宋_GB2312" w:hAnsi="仿宋_GB2312" w:eastAsia="仿宋_GB2312" w:cs="仿宋_GB2312"/>
          <w:color w:val="000000"/>
          <w:sz w:val="32"/>
          <w:szCs w:val="32"/>
        </w:rPr>
        <w:t>《宁夏人社厅转发人力资源和社会保障部&lt;关于印发工伤保险经办规程的通知&gt;》（宁人社发〔2012〕48</w:t>
      </w:r>
      <w:r>
        <w:rPr>
          <w:rFonts w:ascii="Times New Roman" w:hAnsi="Times New Roman" w:eastAsia="仿宋_GB2312"/>
          <w:color w:val="000000"/>
          <w:kern w:val="0"/>
          <w:sz w:val="32"/>
          <w:szCs w:val="32"/>
        </w:rPr>
        <w:t>号</w:t>
      </w:r>
      <w:r>
        <w:rPr>
          <w:rFonts w:hint="eastAsia" w:ascii="仿宋_GB2312" w:hAnsi="仿宋_GB2312" w:eastAsia="仿宋_GB2312" w:cs="仿宋_GB2312"/>
          <w:color w:val="000000"/>
          <w:sz w:val="32"/>
          <w:szCs w:val="32"/>
        </w:rPr>
        <w:t>）、自治区社保局关于印发《宁夏工程建设项目按项目参加工伤保险业务经办流程》（宁社保发〔2018〕10号）、《宁夏回族自治区工伤保险区内异地就医即时结算经办规程（试行）》（宁社保发〔2020〕5号）不再执行。</w:t>
      </w:r>
    </w:p>
    <w:p>
      <w:pPr>
        <w:widowControl/>
        <w:spacing w:line="560" w:lineRule="exact"/>
        <w:jc w:val="left"/>
        <w:rPr>
          <w:rFonts w:ascii="仿宋_GB2312" w:eastAsia="仿宋_GB2312"/>
          <w:b/>
          <w:color w:val="000000"/>
          <w:sz w:val="32"/>
          <w:szCs w:val="32"/>
        </w:rPr>
      </w:pPr>
      <w:r>
        <w:rPr>
          <w:rFonts w:ascii="仿宋_GB2312" w:eastAsia="仿宋_GB2312"/>
          <w:color w:val="000000"/>
          <w:sz w:val="32"/>
          <w:szCs w:val="32"/>
        </w:rPr>
        <w:br w:type="page"/>
      </w:r>
      <w:r>
        <w:rPr>
          <w:rFonts w:hint="eastAsia" w:ascii="仿宋_GB2312" w:eastAsia="仿宋_GB2312"/>
          <w:b/>
          <w:color w:val="000000"/>
          <w:sz w:val="32"/>
          <w:szCs w:val="32"/>
        </w:rPr>
        <w:t>文件索引</w:t>
      </w:r>
      <w:r>
        <w:rPr>
          <w:rFonts w:ascii="仿宋_GB2312" w:eastAsia="仿宋_GB2312"/>
          <w:b/>
          <w:color w:val="000000"/>
          <w:sz w:val="32"/>
          <w:szCs w:val="32"/>
        </w:rPr>
        <w:t>：</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1.《宁夏回族自治区实施&lt;工伤保险条例&gt;办法》（宁政发〔2012〕115号）。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w:t>
      </w:r>
      <w:r>
        <w:rPr>
          <w:rFonts w:hint="eastAsia" w:ascii="仿宋_GB2312" w:eastAsia="仿宋_GB2312"/>
          <w:sz w:val="32"/>
          <w:szCs w:val="32"/>
        </w:rPr>
        <w:t xml:space="preserve"> 《宁夏回族自治区推进完善工伤保险自治区级统筹制度的实施意见》（</w:t>
      </w:r>
      <w:r>
        <w:rPr>
          <w:rFonts w:hint="eastAsia" w:ascii="仿宋_GB2312" w:hAnsi="仿宋" w:eastAsia="仿宋_GB2312"/>
          <w:sz w:val="32"/>
          <w:szCs w:val="32"/>
        </w:rPr>
        <w:t>宁人社发〔2023〕118号</w:t>
      </w:r>
      <w:r>
        <w:rPr>
          <w:rFonts w:hint="eastAsia" w:ascii="仿宋_GB2312" w:eastAsia="仿宋_GB2312"/>
          <w:sz w:val="32"/>
          <w:szCs w:val="32"/>
        </w:rPr>
        <w:t>）。</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3.</w:t>
      </w:r>
      <w:r>
        <w:rPr>
          <w:rFonts w:hint="eastAsia" w:ascii="仿宋_GB2312" w:hAnsi="仿宋_GB2312" w:eastAsia="仿宋_GB2312" w:cs="仿宋_GB2312"/>
          <w:color w:val="000000"/>
          <w:sz w:val="32"/>
          <w:szCs w:val="32"/>
        </w:rPr>
        <w:t xml:space="preserve"> 《关于规范全区工伤保险自治区级统筹基金管理流程的通知》（</w:t>
      </w:r>
      <w:r>
        <w:rPr>
          <w:rFonts w:hint="eastAsia" w:ascii="仿宋_GB2312" w:eastAsia="仿宋_GB2312"/>
          <w:color w:val="000000"/>
          <w:sz w:val="32"/>
          <w:szCs w:val="32"/>
        </w:rPr>
        <w:t>宁财（办）发〔2023〕341 号</w:t>
      </w:r>
      <w:r>
        <w:rPr>
          <w:rFonts w:hint="eastAsia" w:ascii="仿宋_GB2312" w:hAnsi="仿宋_GB2312" w:eastAsia="仿宋_GB2312" w:cs="仿宋_GB2312"/>
          <w:color w:val="000000"/>
          <w:sz w:val="32"/>
          <w:szCs w:val="32"/>
        </w:rPr>
        <w:t>）。</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4.《自治区人力资源和社会保障厅关于推进实施工伤政务服务“一件事”工作的通知》（宁人社函〔2022〕266号）。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5.《国民经济行业分类》（GB/T4754—201</w:t>
      </w:r>
      <w:r>
        <w:rPr>
          <w:rFonts w:ascii="仿宋_GB2312" w:eastAsia="仿宋_GB2312"/>
          <w:color w:val="000000"/>
          <w:sz w:val="32"/>
          <w:szCs w:val="32"/>
        </w:rPr>
        <w:t>7</w:t>
      </w:r>
      <w:r>
        <w:rPr>
          <w:rFonts w:hint="eastAsia" w:ascii="仿宋_GB2312" w:eastAsia="仿宋_GB2312"/>
          <w:color w:val="000000"/>
          <w:sz w:val="32"/>
          <w:szCs w:val="32"/>
        </w:rPr>
        <w:t>）和《工伤保险行业风险分类表》《人力资源社会保障部 财政部 关于调整工伤保险费率政策的通知》（人社部发〔2015〕71号）。</w:t>
      </w:r>
    </w:p>
    <w:p>
      <w:pPr>
        <w:pStyle w:val="61"/>
        <w:spacing w:line="560" w:lineRule="exact"/>
        <w:ind w:firstLine="640"/>
        <w:rPr>
          <w:rFonts w:ascii="仿宋_GB2312" w:hAnsi="Segoe UI" w:eastAsia="仿宋_GB2312" w:cs="Segoe UI"/>
          <w:color w:val="000000"/>
          <w:sz w:val="32"/>
          <w:szCs w:val="32"/>
        </w:rPr>
      </w:pPr>
      <w:r>
        <w:rPr>
          <w:rFonts w:hint="eastAsia" w:ascii="仿宋_GB2312" w:eastAsia="仿宋_GB2312"/>
          <w:color w:val="000000"/>
          <w:sz w:val="32"/>
          <w:szCs w:val="32"/>
        </w:rPr>
        <w:t>6.《</w:t>
      </w:r>
      <w:r>
        <w:rPr>
          <w:rFonts w:hint="eastAsia" w:ascii="仿宋_GB2312" w:hAnsi="Segoe UI" w:eastAsia="仿宋_GB2312" w:cs="Segoe UI"/>
          <w:color w:val="000000"/>
          <w:sz w:val="32"/>
          <w:szCs w:val="32"/>
        </w:rPr>
        <w:t>关于印发建筑业按项目参加工伤保险经办规程（试行）的通知</w:t>
      </w:r>
      <w:r>
        <w:rPr>
          <w:rFonts w:hint="eastAsia" w:ascii="仿宋_GB2312" w:eastAsia="仿宋_GB2312"/>
          <w:color w:val="000000"/>
          <w:sz w:val="32"/>
          <w:szCs w:val="32"/>
        </w:rPr>
        <w:t>》（</w:t>
      </w:r>
      <w:r>
        <w:rPr>
          <w:rFonts w:hint="eastAsia" w:ascii="仿宋_GB2312" w:hAnsi="Segoe UI" w:eastAsia="仿宋_GB2312" w:cs="Segoe UI"/>
          <w:color w:val="000000"/>
          <w:sz w:val="32"/>
          <w:szCs w:val="32"/>
        </w:rPr>
        <w:t>人社险中心函</w:t>
      </w:r>
      <w:r>
        <w:rPr>
          <w:rFonts w:hint="eastAsia" w:ascii="仿宋_GB2312" w:eastAsia="仿宋_GB2312"/>
          <w:color w:val="000000"/>
          <w:sz w:val="32"/>
          <w:szCs w:val="32"/>
        </w:rPr>
        <w:t>〔</w:t>
      </w:r>
      <w:r>
        <w:rPr>
          <w:rFonts w:hint="eastAsia" w:ascii="仿宋_GB2312" w:hAnsi="Segoe UI" w:eastAsia="仿宋_GB2312" w:cs="Segoe UI"/>
          <w:color w:val="000000"/>
          <w:sz w:val="32"/>
          <w:szCs w:val="32"/>
        </w:rPr>
        <w:t>2015</w:t>
      </w:r>
      <w:r>
        <w:rPr>
          <w:rFonts w:hint="eastAsia" w:ascii="仿宋_GB2312" w:eastAsia="仿宋_GB2312"/>
          <w:color w:val="000000"/>
          <w:sz w:val="32"/>
          <w:szCs w:val="32"/>
        </w:rPr>
        <w:t>〕</w:t>
      </w:r>
      <w:r>
        <w:rPr>
          <w:rFonts w:hint="eastAsia" w:ascii="仿宋_GB2312" w:hAnsi="Segoe UI" w:eastAsia="仿宋_GB2312" w:cs="Segoe UI"/>
          <w:color w:val="000000"/>
          <w:sz w:val="32"/>
          <w:szCs w:val="32"/>
        </w:rPr>
        <w:t>38号</w:t>
      </w:r>
      <w:r>
        <w:rPr>
          <w:rFonts w:hint="eastAsia" w:ascii="仿宋_GB2312" w:eastAsia="仿宋_GB2312"/>
          <w:color w:val="000000"/>
          <w:sz w:val="32"/>
          <w:szCs w:val="32"/>
        </w:rPr>
        <w:t>）。</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7.</w:t>
      </w:r>
      <w:r>
        <w:rPr>
          <w:rFonts w:hint="eastAsia" w:ascii="仿宋_GB2312" w:hAnsi="仿宋" w:eastAsia="仿宋_GB2312" w:cs="仿宋"/>
          <w:color w:val="000000"/>
          <w:kern w:val="0"/>
          <w:sz w:val="32"/>
          <w:szCs w:val="32"/>
          <w:lang w:bidi="ar"/>
        </w:rPr>
        <w:t>《宁夏基本医疗工伤生育保险定点医药机构协议管理经办规程》（宁社保发〔2016〕33 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8.《自治区社保局关于公布全区工伤保险异地就医即时结算协议机构名单（2023年）的通知》（宁社保函〔2023〕15号）。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9.《宁夏回族自治区工伤保险医疗服务和就医管理办法》（宁人社规字〔2020〕19号）。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10.《人力资源社会保障部办公厅关于利用国家社会保险公共服务平台推进社会保险公共服务“跨省通办”工作的通知》（人社厅函〔2021〕131号）。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11.</w:t>
      </w:r>
      <w:r>
        <w:rPr>
          <w:rFonts w:hint="eastAsia" w:ascii="仿宋_GB2312" w:hAnsi="仿宋" w:eastAsia="仿宋_GB2312" w:cs="仿宋"/>
          <w:color w:val="000000"/>
          <w:sz w:val="32"/>
          <w:szCs w:val="32"/>
        </w:rPr>
        <w:t>《宁夏回族自治区工伤保险辅助器具配置目录》（宁人社规字</w:t>
      </w:r>
      <w:r>
        <w:rPr>
          <w:rFonts w:hint="eastAsia" w:ascii="仿宋_GB2312" w:eastAsia="仿宋_GB2312"/>
          <w:color w:val="000000"/>
          <w:sz w:val="32"/>
          <w:szCs w:val="32"/>
        </w:rPr>
        <w:t>〔2020〕</w:t>
      </w:r>
      <w:r>
        <w:rPr>
          <w:rFonts w:hint="eastAsia" w:ascii="仿宋_GB2312" w:hAnsi="仿宋" w:eastAsia="仿宋_GB2312" w:cs="仿宋"/>
          <w:color w:val="000000"/>
          <w:sz w:val="32"/>
          <w:szCs w:val="32"/>
        </w:rPr>
        <w:t>14号）。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12.</w:t>
      </w:r>
      <w:r>
        <w:rPr>
          <w:rFonts w:hint="eastAsia" w:ascii="仿宋_GB2312" w:hAnsi="微软雅黑" w:eastAsia="仿宋_GB2312" w:cs="宋体"/>
          <w:color w:val="000000"/>
          <w:kern w:val="0"/>
          <w:sz w:val="32"/>
          <w:szCs w:val="32"/>
        </w:rPr>
        <w:t>《宁夏回族自治区领取社会保险待遇资格认证经办规程（试行）》。</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13.《关于实施&lt;工伤保险条例&gt;若干问题的意见》（劳社部函〔2004〕256号）。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14.《宁夏回族自治区工伤预防费使用管理办法》（宁人社规字〔2018〕2号）。</w:t>
      </w:r>
    </w:p>
    <w:p>
      <w:pPr>
        <w:pStyle w:val="61"/>
        <w:spacing w:line="560" w:lineRule="exact"/>
        <w:ind w:firstLine="640"/>
        <w:rPr>
          <w:rFonts w:ascii="仿宋_GB2312" w:hAnsi="仿宋" w:eastAsia="仿宋_GB2312" w:cs="仿宋"/>
          <w:color w:val="000000"/>
          <w:sz w:val="32"/>
          <w:szCs w:val="32"/>
        </w:rPr>
      </w:pPr>
      <w:r>
        <w:rPr>
          <w:rFonts w:hint="eastAsia" w:ascii="仿宋_GB2312" w:eastAsia="仿宋_GB2312"/>
          <w:color w:val="000000"/>
          <w:sz w:val="32"/>
          <w:szCs w:val="32"/>
        </w:rPr>
        <w:t>15.</w:t>
      </w:r>
      <w:r>
        <w:rPr>
          <w:rFonts w:hint="eastAsia" w:ascii="仿宋_GB2312" w:hAnsi="仿宋" w:eastAsia="仿宋_GB2312" w:cs="仿宋"/>
          <w:color w:val="000000"/>
          <w:sz w:val="32"/>
          <w:szCs w:val="32"/>
        </w:rPr>
        <w:t>《人力资源和社会保障部关于执行〈工伤保险条例〉若干问题的意见》（人社部发</w:t>
      </w:r>
      <w:r>
        <w:rPr>
          <w:rFonts w:hint="eastAsia" w:ascii="仿宋_GB2312" w:eastAsia="仿宋_GB2312"/>
          <w:color w:val="000000"/>
          <w:sz w:val="32"/>
          <w:szCs w:val="32"/>
        </w:rPr>
        <w:t>〔2013〕</w:t>
      </w:r>
      <w:r>
        <w:rPr>
          <w:rFonts w:hint="eastAsia" w:ascii="仿宋_GB2312" w:hAnsi="仿宋" w:eastAsia="仿宋_GB2312" w:cs="仿宋"/>
          <w:color w:val="000000"/>
          <w:sz w:val="32"/>
          <w:szCs w:val="32"/>
        </w:rPr>
        <w:t>34号）。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16.</w:t>
      </w:r>
      <w:r>
        <w:rPr>
          <w:rFonts w:hint="eastAsia" w:ascii="仿宋_GB2312" w:hAnsi="仿宋" w:eastAsia="仿宋_GB2312" w:cs="仿宋"/>
          <w:color w:val="000000"/>
          <w:sz w:val="32"/>
          <w:szCs w:val="32"/>
        </w:rPr>
        <w:t>《宁夏回族自治区工伤保险关系转移经办规程》</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宁社保发〔2013〕44号</w:t>
      </w:r>
      <w:r>
        <w:rPr>
          <w:rFonts w:ascii="仿宋_GB2312" w:hAnsi="仿宋" w:eastAsia="仿宋_GB2312" w:cs="仿宋"/>
          <w:color w:val="000000"/>
          <w:sz w:val="32"/>
          <w:szCs w:val="32"/>
        </w:rPr>
        <w:t>）</w:t>
      </w:r>
      <w:r>
        <w:rPr>
          <w:rFonts w:hint="eastAsia" w:ascii="仿宋_GB2312" w:hAnsi="仿宋" w:eastAsia="仿宋_GB2312" w:cs="仿宋"/>
          <w:color w:val="000000"/>
          <w:sz w:val="32"/>
          <w:szCs w:val="32"/>
        </w:rPr>
        <w:t>。</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17.《关于开展工伤保险联网指标上报工作的通知》（人社部函〔2008〕176号）。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18.《人力资源社会保障部关于调整社会保险联网指标和加强数据上报工作的通知》（人社部函〔2021〕158号）。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19.《社会保险业务档案管理规定（试行）》（人社部、国家档案局令第3号）。</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20.《社会保险业务档案管理规范》（GB/T31599－2015）。</w:t>
      </w:r>
    </w:p>
    <w:p>
      <w:pPr>
        <w:pStyle w:val="61"/>
        <w:spacing w:line="560" w:lineRule="exact"/>
        <w:ind w:firstLine="640"/>
        <w:rPr>
          <w:rFonts w:ascii="仿宋_GB2312" w:eastAsia="仿宋_GB2312"/>
          <w:color w:val="000000"/>
          <w:sz w:val="32"/>
          <w:szCs w:val="32"/>
        </w:rPr>
      </w:pPr>
      <w:r>
        <w:rPr>
          <w:rFonts w:hint="eastAsia" w:ascii="仿宋_GB2312" w:eastAsia="仿宋_GB2312"/>
          <w:color w:val="000000"/>
          <w:sz w:val="32"/>
          <w:szCs w:val="32"/>
        </w:rPr>
        <w:t>21.《人力资源社会保障部社保中心 信息中心〈关于印发社会保险电子档案管理暂行办法〉的通知》（人社险中心函〔2020〕16号）。</w:t>
      </w:r>
    </w:p>
    <w:p>
      <w:pPr>
        <w:pStyle w:val="61"/>
        <w:ind w:firstLine="0" w:firstLineChars="0"/>
        <w:rPr>
          <w:rFonts w:ascii="仿宋_GB2312" w:eastAsia="仿宋_GB2312"/>
          <w:color w:val="000000"/>
          <w:sz w:val="32"/>
          <w:szCs w:val="32"/>
        </w:rPr>
      </w:pP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w:t>
      </w:r>
    </w:p>
    <w:p>
      <w:pPr>
        <w:widowControl/>
        <w:jc w:val="center"/>
        <w:rPr>
          <w:rFonts w:ascii="仿宋_GB2312" w:hAnsi="黑体" w:eastAsia="仿宋_GB2312" w:cs="黑体"/>
          <w:bCs/>
          <w:color w:val="000000"/>
          <w:sz w:val="36"/>
        </w:rPr>
      </w:pPr>
      <w:r>
        <w:rPr>
          <w:rFonts w:hint="eastAsia" w:ascii="方正小标宋简体" w:hAnsi="方正小标宋简体" w:eastAsia="方正小标宋简体" w:cs="方正小标宋简体"/>
          <w:bCs/>
          <w:color w:val="000000"/>
          <w:sz w:val="36"/>
          <w:szCs w:val="36"/>
        </w:rPr>
        <w:t>宁夏工程建设项目工伤保险延期登记表</w:t>
      </w:r>
    </w:p>
    <w:p>
      <w:pPr>
        <w:jc w:val="center"/>
        <w:rPr>
          <w:rFonts w:ascii="仿宋_GB2312" w:hAnsi="黑体" w:eastAsia="仿宋_GB2312" w:cs="黑体"/>
          <w:color w:val="000000"/>
          <w:sz w:val="36"/>
        </w:rPr>
      </w:pP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948"/>
        <w:gridCol w:w="2110"/>
        <w:gridCol w:w="2006"/>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jc w:val="center"/>
        </w:trPr>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企业编号</w:t>
            </w:r>
          </w:p>
        </w:tc>
        <w:tc>
          <w:tcPr>
            <w:tcW w:w="21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p>
        </w:tc>
        <w:tc>
          <w:tcPr>
            <w:tcW w:w="200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工程建设</w:t>
            </w:r>
          </w:p>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施工企业名称</w:t>
            </w: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jc w:val="center"/>
        </w:trPr>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工程项目</w:t>
            </w:r>
          </w:p>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编号</w:t>
            </w:r>
          </w:p>
        </w:tc>
        <w:tc>
          <w:tcPr>
            <w:tcW w:w="2110"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p>
        </w:tc>
        <w:tc>
          <w:tcPr>
            <w:tcW w:w="200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工程项目</w:t>
            </w:r>
          </w:p>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名称</w:t>
            </w:r>
          </w:p>
        </w:tc>
        <w:tc>
          <w:tcPr>
            <w:tcW w:w="2756" w:type="dxa"/>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6" w:hRule="atLeast"/>
          <w:jc w:val="center"/>
        </w:trPr>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原定工程项目期限</w:t>
            </w:r>
          </w:p>
        </w:tc>
        <w:tc>
          <w:tcPr>
            <w:tcW w:w="687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6" w:hRule="atLeast"/>
          <w:jc w:val="center"/>
        </w:trPr>
        <w:tc>
          <w:tcPr>
            <w:tcW w:w="165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工程项目延期期限</w:t>
            </w:r>
          </w:p>
        </w:tc>
        <w:tc>
          <w:tcPr>
            <w:tcW w:w="6872"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ind w:right="-20" w:firstLine="966" w:firstLineChars="350"/>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7" w:hRule="atLeast"/>
          <w:jc w:val="center"/>
        </w:trPr>
        <w:tc>
          <w:tcPr>
            <w:tcW w:w="702" w:type="dxa"/>
            <w:tcBorders>
              <w:top w:val="nil"/>
              <w:left w:val="single" w:color="auto" w:sz="4" w:space="0"/>
              <w:bottom w:val="single" w:color="auto" w:sz="4" w:space="0"/>
              <w:right w:val="single" w:color="auto" w:sz="4" w:space="0"/>
            </w:tcBorders>
            <w:textDirection w:val="tbRlV"/>
            <w:vAlign w:val="center"/>
          </w:tcPr>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工程项目延期原因</w:t>
            </w:r>
          </w:p>
        </w:tc>
        <w:tc>
          <w:tcPr>
            <w:tcW w:w="7820" w:type="dxa"/>
            <w:gridSpan w:val="4"/>
            <w:tcBorders>
              <w:top w:val="nil"/>
              <w:left w:val="single" w:color="auto" w:sz="4" w:space="0"/>
              <w:bottom w:val="single" w:color="auto" w:sz="4" w:space="0"/>
              <w:right w:val="single" w:color="auto" w:sz="4" w:space="0"/>
            </w:tcBorders>
            <w:vAlign w:val="center"/>
          </w:tcPr>
          <w:p>
            <w:pPr>
              <w:adjustRightInd w:val="0"/>
              <w:snapToGrid w:val="0"/>
              <w:spacing w:line="276" w:lineRule="auto"/>
              <w:ind w:right="-20"/>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工程项目延期原因：</w:t>
            </w:r>
          </w:p>
          <w:p>
            <w:pPr>
              <w:adjustRightInd w:val="0"/>
              <w:snapToGrid w:val="0"/>
              <w:spacing w:line="276" w:lineRule="auto"/>
              <w:ind w:right="-20"/>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（或工程保修期说明）</w:t>
            </w:r>
          </w:p>
          <w:p>
            <w:pPr>
              <w:adjustRightInd w:val="0"/>
              <w:snapToGrid w:val="0"/>
              <w:spacing w:line="276" w:lineRule="auto"/>
              <w:ind w:right="-20" w:firstLine="4692" w:firstLineChars="1700"/>
              <w:jc w:val="center"/>
              <w:rPr>
                <w:rFonts w:ascii="仿宋_GB2312" w:hAnsi="Microsoft JhengHei" w:eastAsia="仿宋_GB2312"/>
                <w:color w:val="000000"/>
                <w:spacing w:val="18"/>
                <w:sz w:val="24"/>
              </w:rPr>
            </w:pPr>
          </w:p>
          <w:p>
            <w:pPr>
              <w:adjustRightInd w:val="0"/>
              <w:snapToGrid w:val="0"/>
              <w:spacing w:line="276" w:lineRule="auto"/>
              <w:ind w:right="-20" w:firstLine="4692" w:firstLineChars="1700"/>
              <w:jc w:val="center"/>
              <w:rPr>
                <w:rFonts w:ascii="仿宋_GB2312" w:hAnsi="Microsoft JhengHei" w:eastAsia="仿宋_GB2312"/>
                <w:color w:val="000000"/>
                <w:spacing w:val="18"/>
                <w:sz w:val="24"/>
              </w:rPr>
            </w:pPr>
          </w:p>
          <w:p>
            <w:pPr>
              <w:adjustRightInd w:val="0"/>
              <w:snapToGrid w:val="0"/>
              <w:spacing w:line="276" w:lineRule="auto"/>
              <w:ind w:right="-20" w:firstLine="4692" w:firstLineChars="1700"/>
              <w:jc w:val="center"/>
              <w:rPr>
                <w:rFonts w:ascii="仿宋_GB2312" w:hAnsi="Microsoft JhengHei" w:eastAsia="仿宋_GB2312"/>
                <w:color w:val="000000"/>
                <w:spacing w:val="18"/>
                <w:sz w:val="24"/>
              </w:rPr>
            </w:pPr>
          </w:p>
          <w:p>
            <w:pPr>
              <w:adjustRightInd w:val="0"/>
              <w:snapToGrid w:val="0"/>
              <w:spacing w:line="276" w:lineRule="auto"/>
              <w:ind w:right="-20" w:firstLine="4692" w:firstLineChars="1700"/>
              <w:jc w:val="center"/>
              <w:rPr>
                <w:rFonts w:ascii="仿宋_GB2312" w:hAnsi="Microsoft JhengHei" w:eastAsia="仿宋_GB2312"/>
                <w:color w:val="000000"/>
                <w:spacing w:val="18"/>
                <w:sz w:val="24"/>
              </w:rPr>
            </w:pPr>
          </w:p>
          <w:p>
            <w:pPr>
              <w:adjustRightInd w:val="0"/>
              <w:snapToGrid w:val="0"/>
              <w:spacing w:line="276" w:lineRule="auto"/>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工程建设项目甲方：（章）         工程建设项目乙方：（章）</w:t>
            </w:r>
          </w:p>
          <w:p>
            <w:pPr>
              <w:adjustRightInd w:val="0"/>
              <w:snapToGrid w:val="0"/>
              <w:spacing w:line="276" w:lineRule="auto"/>
              <w:ind w:right="-20" w:firstLine="4692" w:firstLineChars="1700"/>
              <w:jc w:val="center"/>
              <w:rPr>
                <w:rFonts w:ascii="仿宋_GB2312" w:hAnsi="Microsoft JhengHei" w:eastAsia="仿宋_GB2312"/>
                <w:color w:val="000000"/>
                <w:spacing w:val="18"/>
                <w:sz w:val="24"/>
              </w:rPr>
            </w:pPr>
          </w:p>
          <w:p>
            <w:pPr>
              <w:adjustRightInd w:val="0"/>
              <w:snapToGrid w:val="0"/>
              <w:spacing w:line="276" w:lineRule="auto"/>
              <w:ind w:right="-20" w:firstLine="4692" w:firstLineChars="1700"/>
              <w:jc w:val="center"/>
              <w:rPr>
                <w:rFonts w:ascii="仿宋_GB2312" w:hAnsi="Microsoft JhengHei" w:eastAsia="仿宋_GB2312"/>
                <w:color w:val="000000"/>
                <w:spacing w:val="18"/>
                <w:sz w:val="24"/>
              </w:rPr>
            </w:pPr>
          </w:p>
          <w:p>
            <w:pPr>
              <w:adjustRightInd w:val="0"/>
              <w:snapToGrid w:val="0"/>
              <w:spacing w:line="276" w:lineRule="auto"/>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经办人：                       经办人：</w:t>
            </w:r>
          </w:p>
          <w:p>
            <w:pPr>
              <w:adjustRightInd w:val="0"/>
              <w:snapToGrid w:val="0"/>
              <w:spacing w:line="276" w:lineRule="auto"/>
              <w:ind w:right="-20" w:firstLine="828" w:firstLineChars="30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年  月  日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54" w:hRule="atLeast"/>
          <w:jc w:val="center"/>
        </w:trPr>
        <w:tc>
          <w:tcPr>
            <w:tcW w:w="702" w:type="dxa"/>
            <w:tcBorders>
              <w:top w:val="single" w:color="auto" w:sz="4" w:space="0"/>
              <w:left w:val="single" w:color="auto" w:sz="4" w:space="0"/>
              <w:bottom w:val="single" w:color="auto" w:sz="4" w:space="0"/>
              <w:right w:val="single" w:color="auto" w:sz="4" w:space="0"/>
            </w:tcBorders>
            <w:textDirection w:val="tbRlV"/>
            <w:vAlign w:val="center"/>
          </w:tcPr>
          <w:p>
            <w:pPr>
              <w:adjustRightInd w:val="0"/>
              <w:snapToGrid w:val="0"/>
              <w:ind w:right="-20"/>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社保经办机构审核意见</w:t>
            </w:r>
          </w:p>
        </w:tc>
        <w:tc>
          <w:tcPr>
            <w:tcW w:w="782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right="-20" w:firstLine="435"/>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经审核，你单位</w:t>
            </w:r>
            <w:r>
              <w:rPr>
                <w:rFonts w:hint="eastAsia" w:ascii="仿宋_GB2312" w:hAnsi="Microsoft JhengHei" w:eastAsia="仿宋_GB2312"/>
                <w:color w:val="000000"/>
                <w:spacing w:val="18"/>
                <w:sz w:val="24"/>
                <w:u w:val="single"/>
              </w:rPr>
              <w:t xml:space="preserve">                         </w:t>
            </w:r>
            <w:r>
              <w:rPr>
                <w:rFonts w:hint="eastAsia" w:ascii="仿宋_GB2312" w:hAnsi="Microsoft JhengHei" w:eastAsia="仿宋_GB2312"/>
                <w:color w:val="000000"/>
                <w:spacing w:val="18"/>
                <w:sz w:val="24"/>
              </w:rPr>
              <w:t>工程建设项目工伤保险有效期由     年  月  日延长至     年  月  日。社保经办机构（业务章）</w:t>
            </w:r>
          </w:p>
          <w:p>
            <w:pPr>
              <w:adjustRightInd w:val="0"/>
              <w:snapToGrid w:val="0"/>
              <w:spacing w:line="276" w:lineRule="auto"/>
              <w:ind w:right="1636" w:firstLine="435"/>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经办人：</w:t>
            </w:r>
          </w:p>
          <w:p>
            <w:pPr>
              <w:adjustRightInd w:val="0"/>
              <w:snapToGrid w:val="0"/>
              <w:spacing w:line="276" w:lineRule="auto"/>
              <w:ind w:right="256" w:firstLine="435"/>
              <w:jc w:val="center"/>
              <w:rPr>
                <w:rFonts w:ascii="仿宋_GB2312" w:hAnsi="Microsoft JhengHei" w:eastAsia="仿宋_GB2312"/>
                <w:color w:val="000000"/>
                <w:spacing w:val="18"/>
                <w:sz w:val="24"/>
              </w:rPr>
            </w:pPr>
            <w:r>
              <w:rPr>
                <w:rFonts w:hint="eastAsia" w:ascii="仿宋_GB2312" w:hAnsi="Microsoft JhengHei" w:eastAsia="仿宋_GB2312"/>
                <w:color w:val="000000"/>
                <w:spacing w:val="18"/>
                <w:sz w:val="24"/>
              </w:rPr>
              <w:t>年    月    日</w:t>
            </w:r>
          </w:p>
        </w:tc>
      </w:tr>
    </w:tbl>
    <w:p>
      <w:pPr>
        <w:ind w:firstLine="124" w:firstLineChars="50"/>
        <w:rPr>
          <w:rFonts w:ascii="仿宋_GB2312" w:hAnsi="Microsoft JhengHei" w:eastAsia="仿宋_GB2312"/>
          <w:color w:val="000000"/>
          <w:w w:val="104"/>
          <w:sz w:val="24"/>
        </w:rPr>
      </w:pPr>
      <w:r>
        <w:rPr>
          <w:rFonts w:hint="eastAsia" w:ascii="仿宋_GB2312" w:hAnsi="Microsoft JhengHei" w:eastAsia="仿宋_GB2312"/>
          <w:color w:val="000000"/>
          <w:w w:val="104"/>
          <w:sz w:val="24"/>
        </w:rPr>
        <w:t>备注：1、工程建设项目合同期延长或目竣工后有保修期的需填写此表；</w:t>
      </w:r>
    </w:p>
    <w:p>
      <w:pPr>
        <w:ind w:firstLine="871" w:firstLineChars="350"/>
        <w:rPr>
          <w:rFonts w:ascii="仿宋_GB2312" w:hAnsi="Microsoft JhengHei" w:eastAsia="仿宋_GB2312"/>
          <w:color w:val="000000"/>
          <w:w w:val="104"/>
          <w:sz w:val="24"/>
        </w:rPr>
      </w:pPr>
      <w:r>
        <w:rPr>
          <w:rFonts w:hint="eastAsia" w:ascii="仿宋_GB2312" w:hAnsi="Microsoft JhengHei" w:eastAsia="仿宋_GB2312"/>
          <w:color w:val="000000"/>
          <w:w w:val="104"/>
          <w:sz w:val="24"/>
        </w:rPr>
        <w:t>2、本表由工程建设施工企业按一式二份填写。</w:t>
      </w:r>
    </w:p>
    <w:p>
      <w:pPr>
        <w:pStyle w:val="61"/>
        <w:ind w:firstLine="0" w:firstLineChars="0"/>
        <w:rPr>
          <w:rFonts w:ascii="仿宋_GB2312" w:eastAsia="仿宋_GB2312"/>
          <w:color w:val="000000"/>
          <w:sz w:val="24"/>
        </w:rPr>
      </w:pPr>
    </w:p>
    <w:tbl>
      <w:tblPr>
        <w:tblStyle w:val="24"/>
        <w:tblpPr w:leftFromText="180" w:rightFromText="180" w:vertAnchor="page" w:horzAnchor="margin" w:tblpXSpec="center" w:tblpY="1741"/>
        <w:tblW w:w="8522" w:type="dxa"/>
        <w:tblInd w:w="0" w:type="dxa"/>
        <w:tblLayout w:type="fixed"/>
        <w:tblCellMar>
          <w:top w:w="0" w:type="dxa"/>
          <w:left w:w="108" w:type="dxa"/>
          <w:bottom w:w="0" w:type="dxa"/>
          <w:right w:w="108" w:type="dxa"/>
        </w:tblCellMar>
      </w:tblPr>
      <w:tblGrid>
        <w:gridCol w:w="1245"/>
        <w:gridCol w:w="662"/>
        <w:gridCol w:w="367"/>
        <w:gridCol w:w="366"/>
        <w:gridCol w:w="366"/>
        <w:gridCol w:w="366"/>
        <w:gridCol w:w="75"/>
        <w:gridCol w:w="286"/>
        <w:gridCol w:w="366"/>
        <w:gridCol w:w="399"/>
        <w:gridCol w:w="343"/>
        <w:gridCol w:w="368"/>
        <w:gridCol w:w="368"/>
        <w:gridCol w:w="399"/>
        <w:gridCol w:w="339"/>
        <w:gridCol w:w="368"/>
        <w:gridCol w:w="370"/>
        <w:gridCol w:w="368"/>
        <w:gridCol w:w="368"/>
        <w:gridCol w:w="368"/>
        <w:gridCol w:w="365"/>
      </w:tblGrid>
      <w:tr>
        <w:tblPrEx>
          <w:tblLayout w:type="fixed"/>
          <w:tblCellMar>
            <w:top w:w="0" w:type="dxa"/>
            <w:left w:w="108" w:type="dxa"/>
            <w:bottom w:w="0" w:type="dxa"/>
            <w:right w:w="108" w:type="dxa"/>
          </w:tblCellMar>
        </w:tblPrEx>
        <w:trPr>
          <w:trHeight w:val="795" w:hRule="atLeast"/>
        </w:trPr>
        <w:tc>
          <w:tcPr>
            <w:tcW w:w="8522" w:type="dxa"/>
            <w:gridSpan w:val="21"/>
            <w:tcBorders>
              <w:top w:val="nil"/>
              <w:left w:val="nil"/>
              <w:bottom w:val="nil"/>
              <w:right w:val="nil"/>
            </w:tcBorders>
            <w:vAlign w:val="center"/>
          </w:tcPr>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附件2</w:t>
            </w:r>
          </w:p>
          <w:p>
            <w:pPr>
              <w:widowControl/>
              <w:jc w:val="center"/>
              <w:rPr>
                <w:rFonts w:ascii="仿宋_GB2312" w:hAnsi="华文中宋" w:eastAsia="仿宋_GB2312" w:cs="宋体"/>
                <w:b/>
                <w:bCs/>
                <w:color w:val="000000"/>
                <w:kern w:val="0"/>
                <w:sz w:val="24"/>
              </w:rPr>
            </w:pPr>
            <w:r>
              <w:rPr>
                <w:rFonts w:hint="eastAsia" w:ascii="方正小标宋简体" w:hAnsi="方正小标宋简体" w:eastAsia="方正小标宋简体" w:cs="方正小标宋简体"/>
                <w:bCs/>
                <w:color w:val="000000"/>
                <w:sz w:val="36"/>
                <w:szCs w:val="36"/>
              </w:rPr>
              <w:t>宁夏回族自治区社会保险变更登记表</w:t>
            </w:r>
          </w:p>
        </w:tc>
      </w:tr>
      <w:tr>
        <w:tblPrEx>
          <w:tblLayout w:type="fixed"/>
          <w:tblCellMar>
            <w:top w:w="0" w:type="dxa"/>
            <w:left w:w="108" w:type="dxa"/>
            <w:bottom w:w="0" w:type="dxa"/>
            <w:right w:w="108" w:type="dxa"/>
          </w:tblCellMar>
        </w:tblPrEx>
        <w:trPr>
          <w:trHeight w:val="490" w:hRule="atLeast"/>
        </w:trPr>
        <w:tc>
          <w:tcPr>
            <w:tcW w:w="4498" w:type="dxa"/>
            <w:gridSpan w:val="10"/>
            <w:tcBorders>
              <w:top w:val="nil"/>
              <w:left w:val="nil"/>
              <w:bottom w:val="nil"/>
              <w:right w:val="nil"/>
            </w:tcBorders>
            <w:vAlign w:val="center"/>
          </w:tcPr>
          <w:p>
            <w:pPr>
              <w:widowControl/>
              <w:jc w:val="left"/>
              <w:rPr>
                <w:rFonts w:ascii="仿宋_GB2312" w:hAnsi="Times New Roman" w:eastAsia="仿宋_GB2312"/>
                <w:color w:val="000000"/>
                <w:kern w:val="0"/>
                <w:sz w:val="24"/>
              </w:rPr>
            </w:pPr>
            <w:r>
              <w:rPr>
                <w:rFonts w:hint="eastAsia" w:ascii="仿宋_GB2312" w:hAnsi="宋体" w:eastAsia="仿宋_GB2312" w:cs="宋体"/>
                <w:color w:val="000000"/>
                <w:kern w:val="0"/>
                <w:sz w:val="24"/>
              </w:rPr>
              <w:t>单位统一社会信用代码:</w:t>
            </w:r>
          </w:p>
        </w:tc>
        <w:tc>
          <w:tcPr>
            <w:tcW w:w="1478" w:type="dxa"/>
            <w:gridSpan w:val="4"/>
            <w:tcBorders>
              <w:top w:val="nil"/>
              <w:left w:val="nil"/>
              <w:bottom w:val="nil"/>
              <w:right w:val="nil"/>
            </w:tcBorders>
            <w:vAlign w:val="center"/>
          </w:tcPr>
          <w:p>
            <w:pPr>
              <w:widowControl/>
              <w:jc w:val="center"/>
              <w:rPr>
                <w:rFonts w:ascii="仿宋_GB2312" w:hAnsi="Times New Roman" w:eastAsia="仿宋_GB2312"/>
                <w:color w:val="000000"/>
                <w:kern w:val="0"/>
                <w:sz w:val="24"/>
              </w:rPr>
            </w:pPr>
          </w:p>
        </w:tc>
        <w:tc>
          <w:tcPr>
            <w:tcW w:w="2546" w:type="dxa"/>
            <w:gridSpan w:val="7"/>
            <w:tcBorders>
              <w:top w:val="nil"/>
              <w:left w:val="nil"/>
              <w:bottom w:val="nil"/>
              <w:right w:val="nil"/>
            </w:tcBorders>
            <w:vAlign w:val="center"/>
          </w:tcPr>
          <w:p>
            <w:pPr>
              <w:widowControl/>
              <w:ind w:right="480"/>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490" w:hRule="atLeast"/>
        </w:trPr>
        <w:tc>
          <w:tcPr>
            <w:tcW w:w="1907"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单位名称：(章)</w:t>
            </w:r>
          </w:p>
        </w:tc>
        <w:tc>
          <w:tcPr>
            <w:tcW w:w="1540"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051" w:type="dxa"/>
            <w:gridSpan w:val="3"/>
            <w:tcBorders>
              <w:top w:val="nil"/>
              <w:left w:val="nil"/>
              <w:bottom w:val="nil"/>
              <w:right w:val="nil"/>
            </w:tcBorders>
            <w:vAlign w:val="center"/>
          </w:tcPr>
          <w:p>
            <w:pPr>
              <w:widowControl/>
              <w:jc w:val="left"/>
              <w:rPr>
                <w:rFonts w:ascii="仿宋_GB2312" w:hAnsi="Times New Roman" w:eastAsia="仿宋_GB2312"/>
                <w:color w:val="000000"/>
                <w:kern w:val="0"/>
                <w:sz w:val="24"/>
              </w:rPr>
            </w:pPr>
          </w:p>
        </w:tc>
        <w:tc>
          <w:tcPr>
            <w:tcW w:w="1478" w:type="dxa"/>
            <w:gridSpan w:val="4"/>
            <w:tcBorders>
              <w:top w:val="nil"/>
              <w:left w:val="nil"/>
              <w:bottom w:val="nil"/>
              <w:right w:val="nil"/>
            </w:tcBorders>
            <w:vAlign w:val="center"/>
          </w:tcPr>
          <w:p>
            <w:pPr>
              <w:widowControl/>
              <w:jc w:val="left"/>
              <w:rPr>
                <w:rFonts w:ascii="仿宋_GB2312" w:hAnsi="Times New Roman" w:eastAsia="仿宋_GB2312"/>
                <w:color w:val="000000"/>
                <w:kern w:val="0"/>
                <w:sz w:val="24"/>
              </w:rPr>
            </w:pPr>
          </w:p>
        </w:tc>
        <w:tc>
          <w:tcPr>
            <w:tcW w:w="1077" w:type="dxa"/>
            <w:gridSpan w:val="3"/>
            <w:tcBorders>
              <w:top w:val="nil"/>
              <w:left w:val="nil"/>
              <w:bottom w:val="nil"/>
              <w:right w:val="nil"/>
            </w:tcBorders>
            <w:vAlign w:val="center"/>
          </w:tcPr>
          <w:p>
            <w:pPr>
              <w:widowControl/>
              <w:jc w:val="left"/>
              <w:rPr>
                <w:rFonts w:ascii="仿宋_GB2312" w:hAnsi="Times New Roman" w:eastAsia="仿宋_GB2312"/>
                <w:color w:val="000000"/>
                <w:kern w:val="0"/>
                <w:sz w:val="24"/>
              </w:rPr>
            </w:pPr>
            <w:r>
              <w:rPr>
                <w:rFonts w:hint="eastAsia" w:ascii="仿宋_GB2312" w:hAnsi="华文中宋" w:eastAsia="仿宋_GB2312" w:cs="宋体"/>
                <w:bCs/>
                <w:color w:val="000000"/>
                <w:kern w:val="0"/>
                <w:sz w:val="24"/>
              </w:rPr>
              <w:t>日期：</w:t>
            </w:r>
          </w:p>
        </w:tc>
        <w:tc>
          <w:tcPr>
            <w:tcW w:w="1469" w:type="dxa"/>
            <w:gridSpan w:val="4"/>
            <w:tcBorders>
              <w:top w:val="nil"/>
              <w:left w:val="nil"/>
              <w:bottom w:val="nil"/>
              <w:right w:val="nil"/>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480" w:hRule="atLeast"/>
        </w:trPr>
        <w:tc>
          <w:tcPr>
            <w:tcW w:w="12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w:t>
            </w:r>
          </w:p>
        </w:tc>
        <w:tc>
          <w:tcPr>
            <w:tcW w:w="3253" w:type="dxa"/>
            <w:gridSpan w:val="9"/>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2555"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原社会保险登记证</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编号</w:t>
            </w:r>
          </w:p>
        </w:tc>
        <w:tc>
          <w:tcPr>
            <w:tcW w:w="1469" w:type="dxa"/>
            <w:gridSpan w:val="4"/>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Layout w:type="fixed"/>
          <w:tblCellMar>
            <w:top w:w="0" w:type="dxa"/>
            <w:left w:w="108" w:type="dxa"/>
            <w:bottom w:w="0" w:type="dxa"/>
            <w:right w:w="108" w:type="dxa"/>
          </w:tblCellMar>
        </w:tblPrEx>
        <w:trPr>
          <w:trHeight w:val="480" w:hRule="atLeast"/>
        </w:trPr>
        <w:tc>
          <w:tcPr>
            <w:tcW w:w="124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变更原因</w:t>
            </w:r>
          </w:p>
        </w:tc>
        <w:tc>
          <w:tcPr>
            <w:tcW w:w="2202" w:type="dxa"/>
            <w:gridSpan w:val="6"/>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修改（  ）转制（  ）其他（  ）</w:t>
            </w:r>
          </w:p>
        </w:tc>
        <w:tc>
          <w:tcPr>
            <w:tcW w:w="1051"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变更险种</w:t>
            </w:r>
          </w:p>
        </w:tc>
        <w:tc>
          <w:tcPr>
            <w:tcW w:w="1478" w:type="dxa"/>
            <w:gridSpan w:val="4"/>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77"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申请变更时间</w:t>
            </w:r>
          </w:p>
        </w:tc>
        <w:tc>
          <w:tcPr>
            <w:tcW w:w="1469" w:type="dxa"/>
            <w:gridSpan w:val="4"/>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w:t>
            </w:r>
          </w:p>
        </w:tc>
      </w:tr>
      <w:tr>
        <w:tblPrEx>
          <w:tblLayout w:type="fixed"/>
          <w:tblCellMar>
            <w:top w:w="0" w:type="dxa"/>
            <w:left w:w="108" w:type="dxa"/>
            <w:bottom w:w="0" w:type="dxa"/>
            <w:right w:w="108" w:type="dxa"/>
          </w:tblCellMar>
        </w:tblPrEx>
        <w:trPr>
          <w:trHeight w:val="480" w:hRule="atLeast"/>
        </w:trPr>
        <w:tc>
          <w:tcPr>
            <w:tcW w:w="190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变更事项</w:t>
            </w:r>
          </w:p>
        </w:tc>
        <w:tc>
          <w:tcPr>
            <w:tcW w:w="259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原   登   记</w:t>
            </w:r>
          </w:p>
        </w:tc>
        <w:tc>
          <w:tcPr>
            <w:tcW w:w="4024" w:type="dxa"/>
            <w:gridSpan w:val="11"/>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变  更  登  记 </w:t>
            </w:r>
          </w:p>
        </w:tc>
      </w:tr>
      <w:tr>
        <w:tblPrEx>
          <w:tblLayout w:type="fixed"/>
          <w:tblCellMar>
            <w:top w:w="0" w:type="dxa"/>
            <w:left w:w="108" w:type="dxa"/>
            <w:bottom w:w="0" w:type="dxa"/>
            <w:right w:w="108" w:type="dxa"/>
          </w:tblCellMar>
        </w:tblPrEx>
        <w:trPr>
          <w:trHeight w:val="480" w:hRule="atLeast"/>
        </w:trPr>
        <w:tc>
          <w:tcPr>
            <w:tcW w:w="190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w:t>
            </w:r>
          </w:p>
        </w:tc>
        <w:tc>
          <w:tcPr>
            <w:tcW w:w="259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4024" w:type="dxa"/>
            <w:gridSpan w:val="11"/>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Layout w:type="fixed"/>
          <w:tblCellMar>
            <w:top w:w="0" w:type="dxa"/>
            <w:left w:w="108" w:type="dxa"/>
            <w:bottom w:w="0" w:type="dxa"/>
            <w:right w:w="108" w:type="dxa"/>
          </w:tblCellMar>
        </w:tblPrEx>
        <w:trPr>
          <w:trHeight w:val="480" w:hRule="atLeast"/>
        </w:trPr>
        <w:tc>
          <w:tcPr>
            <w:tcW w:w="190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统一信用代码</w:t>
            </w:r>
          </w:p>
        </w:tc>
        <w:tc>
          <w:tcPr>
            <w:tcW w:w="259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4024" w:type="dxa"/>
            <w:gridSpan w:val="11"/>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Layout w:type="fixed"/>
          <w:tblCellMar>
            <w:top w:w="0" w:type="dxa"/>
            <w:left w:w="108" w:type="dxa"/>
            <w:bottom w:w="0" w:type="dxa"/>
            <w:right w:w="108" w:type="dxa"/>
          </w:tblCellMar>
        </w:tblPrEx>
        <w:trPr>
          <w:trHeight w:val="480" w:hRule="atLeast"/>
        </w:trPr>
        <w:tc>
          <w:tcPr>
            <w:tcW w:w="190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法 人</w:t>
            </w:r>
          </w:p>
        </w:tc>
        <w:tc>
          <w:tcPr>
            <w:tcW w:w="259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4024" w:type="dxa"/>
            <w:gridSpan w:val="11"/>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Layout w:type="fixed"/>
          <w:tblCellMar>
            <w:top w:w="0" w:type="dxa"/>
            <w:left w:w="108" w:type="dxa"/>
            <w:bottom w:w="0" w:type="dxa"/>
            <w:right w:w="108" w:type="dxa"/>
          </w:tblCellMar>
        </w:tblPrEx>
        <w:trPr>
          <w:trHeight w:val="480" w:hRule="atLeast"/>
        </w:trPr>
        <w:tc>
          <w:tcPr>
            <w:tcW w:w="190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法人身份证号码</w:t>
            </w:r>
          </w:p>
        </w:tc>
        <w:tc>
          <w:tcPr>
            <w:tcW w:w="259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4024" w:type="dxa"/>
            <w:gridSpan w:val="11"/>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80" w:hRule="atLeast"/>
        </w:trPr>
        <w:tc>
          <w:tcPr>
            <w:tcW w:w="1907" w:type="dxa"/>
            <w:gridSpan w:val="2"/>
            <w:tcBorders>
              <w:top w:val="single" w:color="auto" w:sz="4" w:space="0"/>
              <w:left w:val="single" w:color="auto" w:sz="4" w:space="0"/>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单位地址</w:t>
            </w:r>
          </w:p>
        </w:tc>
        <w:tc>
          <w:tcPr>
            <w:tcW w:w="2591" w:type="dxa"/>
            <w:gridSpan w:val="8"/>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4024" w:type="dxa"/>
            <w:gridSpan w:val="11"/>
            <w:tcBorders>
              <w:top w:val="single" w:color="auto" w:sz="4" w:space="0"/>
              <w:left w:val="nil"/>
              <w:bottom w:val="single" w:color="auto" w:sz="4" w:space="0"/>
              <w:right w:val="single" w:color="auto" w:sz="4" w:space="0"/>
            </w:tcBorders>
            <w:vAlign w:val="center"/>
          </w:tcPr>
          <w:p>
            <w:pPr>
              <w:widowControl/>
              <w:spacing w:line="26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80" w:hRule="atLeast"/>
        </w:trPr>
        <w:tc>
          <w:tcPr>
            <w:tcW w:w="1245" w:type="dxa"/>
            <w:vMerge w:val="restart"/>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法定                                                      代表人                         (负责人)</w:t>
            </w:r>
          </w:p>
        </w:tc>
        <w:tc>
          <w:tcPr>
            <w:tcW w:w="6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2591" w:type="dxa"/>
            <w:gridSpan w:val="8"/>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1478" w:type="dxa"/>
            <w:gridSpan w:val="4"/>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电话</w:t>
            </w:r>
          </w:p>
        </w:tc>
        <w:tc>
          <w:tcPr>
            <w:tcW w:w="2546"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Layout w:type="fixed"/>
          <w:tblCellMar>
            <w:top w:w="0" w:type="dxa"/>
            <w:left w:w="108" w:type="dxa"/>
            <w:bottom w:w="0" w:type="dxa"/>
            <w:right w:w="108" w:type="dxa"/>
          </w:tblCellMar>
        </w:tblPrEx>
        <w:trPr>
          <w:trHeight w:val="501" w:hRule="atLeast"/>
        </w:trPr>
        <w:tc>
          <w:tcPr>
            <w:tcW w:w="1245"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6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公民身份号</w:t>
            </w:r>
          </w:p>
        </w:tc>
        <w:tc>
          <w:tcPr>
            <w:tcW w:w="367" w:type="dxa"/>
            <w:tcBorders>
              <w:top w:val="nil"/>
              <w:left w:val="nil"/>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366"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6"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6"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1" w:type="dxa"/>
            <w:gridSpan w:val="2"/>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6"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99"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43"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8"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8"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99"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39"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8"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70"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8"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8"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8" w:type="dxa"/>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p>
        </w:tc>
        <w:tc>
          <w:tcPr>
            <w:tcW w:w="36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480" w:hRule="atLeast"/>
        </w:trPr>
        <w:tc>
          <w:tcPr>
            <w:tcW w:w="1245" w:type="dxa"/>
            <w:vMerge w:val="restart"/>
            <w:tcBorders>
              <w:top w:val="single" w:color="auto" w:sz="4" w:space="0"/>
              <w:left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缴费单位                                 专管员</w:t>
            </w:r>
          </w:p>
        </w:tc>
        <w:tc>
          <w:tcPr>
            <w:tcW w:w="66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2591" w:type="dxa"/>
            <w:gridSpan w:val="8"/>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1478"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电话</w:t>
            </w:r>
          </w:p>
        </w:tc>
        <w:tc>
          <w:tcPr>
            <w:tcW w:w="2546"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r>
      <w:tr>
        <w:tblPrEx>
          <w:tblLayout w:type="fixed"/>
          <w:tblCellMar>
            <w:top w:w="0" w:type="dxa"/>
            <w:left w:w="108" w:type="dxa"/>
            <w:bottom w:w="0" w:type="dxa"/>
            <w:right w:w="108" w:type="dxa"/>
          </w:tblCellMar>
        </w:tblPrEx>
        <w:trPr>
          <w:trHeight w:val="1284" w:hRule="atLeast"/>
        </w:trPr>
        <w:tc>
          <w:tcPr>
            <w:tcW w:w="1245" w:type="dxa"/>
            <w:vMerge w:val="continue"/>
            <w:tcBorders>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662"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所在部门名称</w:t>
            </w:r>
          </w:p>
        </w:tc>
        <w:tc>
          <w:tcPr>
            <w:tcW w:w="2591" w:type="dxa"/>
            <w:gridSpan w:val="8"/>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1478" w:type="dxa"/>
            <w:gridSpan w:val="4"/>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E-mail:</w:t>
            </w:r>
          </w:p>
        </w:tc>
        <w:tc>
          <w:tcPr>
            <w:tcW w:w="2546" w:type="dxa"/>
            <w:gridSpan w:val="7"/>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312" w:hRule="atLeast"/>
        </w:trPr>
        <w:tc>
          <w:tcPr>
            <w:tcW w:w="1245" w:type="dxa"/>
            <w:tcBorders>
              <w:top w:val="nil"/>
              <w:left w:val="single" w:color="auto" w:sz="4" w:space="0"/>
              <w:bottom w:val="single" w:color="auto" w:sz="4" w:space="0"/>
              <w:right w:val="single" w:color="auto" w:sz="4" w:space="0"/>
            </w:tcBorders>
            <w:vAlign w:val="center"/>
          </w:tcPr>
          <w:p>
            <w:pPr>
              <w:widowControl/>
              <w:ind w:firstLine="240" w:firstLineChars="10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w:t>
            </w:r>
          </w:p>
        </w:tc>
        <w:tc>
          <w:tcPr>
            <w:tcW w:w="7277" w:type="dxa"/>
            <w:gridSpan w:val="20"/>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420" w:hRule="atLeast"/>
        </w:trPr>
        <w:tc>
          <w:tcPr>
            <w:tcW w:w="8522" w:type="dxa"/>
            <w:gridSpan w:val="21"/>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缴费单位制表人(章)：     社保机构受理人(章)：        社保机构(章)：</w:t>
            </w:r>
          </w:p>
        </w:tc>
      </w:tr>
      <w:tr>
        <w:tblPrEx>
          <w:tblLayout w:type="fixed"/>
          <w:tblCellMar>
            <w:top w:w="0" w:type="dxa"/>
            <w:left w:w="108" w:type="dxa"/>
            <w:bottom w:w="0" w:type="dxa"/>
            <w:right w:w="108" w:type="dxa"/>
          </w:tblCellMar>
        </w:tblPrEx>
        <w:trPr>
          <w:trHeight w:val="420" w:hRule="atLeast"/>
        </w:trPr>
        <w:tc>
          <w:tcPr>
            <w:tcW w:w="8522" w:type="dxa"/>
            <w:gridSpan w:val="21"/>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缴费单位负责人(章)：     社保机构审核人(章)：</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备注：本表填报一式两份，登记单位、社会保险经办机构各一份。</w:t>
            </w:r>
          </w:p>
          <w:p>
            <w:pPr>
              <w:widowControl/>
              <w:jc w:val="left"/>
              <w:rPr>
                <w:rFonts w:ascii="仿宋_GB2312" w:hAnsi="宋体" w:eastAsia="仿宋_GB2312" w:cs="宋体"/>
                <w:color w:val="000000"/>
                <w:kern w:val="0"/>
                <w:sz w:val="24"/>
              </w:rPr>
            </w:pPr>
          </w:p>
          <w:p>
            <w:pPr>
              <w:widowControl/>
              <w:jc w:val="left"/>
              <w:rPr>
                <w:rFonts w:ascii="仿宋_GB2312" w:hAnsi="宋体" w:eastAsia="仿宋_GB2312" w:cs="宋体"/>
                <w:color w:val="000000"/>
                <w:kern w:val="0"/>
                <w:sz w:val="24"/>
              </w:rPr>
            </w:pPr>
          </w:p>
        </w:tc>
      </w:tr>
    </w:tbl>
    <w:p>
      <w:pPr>
        <w:rPr>
          <w:rFonts w:ascii="仿宋_GB2312" w:eastAsia="仿宋_GB2312"/>
          <w:vanish/>
        </w:rPr>
      </w:pPr>
    </w:p>
    <w:tbl>
      <w:tblPr>
        <w:tblStyle w:val="24"/>
        <w:tblW w:w="9113" w:type="dxa"/>
        <w:tblInd w:w="0" w:type="dxa"/>
        <w:tblLayout w:type="fixed"/>
        <w:tblCellMar>
          <w:top w:w="0" w:type="dxa"/>
          <w:left w:w="108" w:type="dxa"/>
          <w:bottom w:w="0" w:type="dxa"/>
          <w:right w:w="108" w:type="dxa"/>
        </w:tblCellMar>
      </w:tblPr>
      <w:tblGrid>
        <w:gridCol w:w="1276"/>
        <w:gridCol w:w="237"/>
        <w:gridCol w:w="1289"/>
        <w:gridCol w:w="600"/>
        <w:gridCol w:w="513"/>
        <w:gridCol w:w="1047"/>
        <w:gridCol w:w="1186"/>
        <w:gridCol w:w="515"/>
        <w:gridCol w:w="1201"/>
        <w:gridCol w:w="1013"/>
        <w:gridCol w:w="236"/>
      </w:tblGrid>
      <w:tr>
        <w:tblPrEx>
          <w:tblLayout w:type="fixed"/>
          <w:tblCellMar>
            <w:top w:w="0" w:type="dxa"/>
            <w:left w:w="108" w:type="dxa"/>
            <w:bottom w:w="0" w:type="dxa"/>
            <w:right w:w="108" w:type="dxa"/>
          </w:tblCellMar>
        </w:tblPrEx>
        <w:trPr>
          <w:gridAfter w:val="1"/>
          <w:wAfter w:w="236" w:type="dxa"/>
          <w:trHeight w:val="600" w:hRule="atLeast"/>
        </w:trPr>
        <w:tc>
          <w:tcPr>
            <w:tcW w:w="8877" w:type="dxa"/>
            <w:gridSpan w:val="10"/>
            <w:tcBorders>
              <w:top w:val="nil"/>
              <w:left w:val="nil"/>
              <w:bottom w:val="nil"/>
              <w:right w:val="nil"/>
            </w:tcBorders>
          </w:tcPr>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附件3</w:t>
            </w:r>
          </w:p>
          <w:p>
            <w:pPr>
              <w:widowControl/>
              <w:jc w:val="center"/>
              <w:rPr>
                <w:rFonts w:ascii="仿宋_GB2312" w:hAnsi="宋体" w:eastAsia="仿宋_GB2312" w:cs="宋体"/>
                <w:b/>
                <w:bCs/>
                <w:color w:val="000000"/>
                <w:kern w:val="0"/>
                <w:sz w:val="36"/>
                <w:szCs w:val="36"/>
              </w:rPr>
            </w:pPr>
            <w:r>
              <w:rPr>
                <w:rFonts w:hint="eastAsia" w:ascii="方正小标宋简体" w:hAnsi="方正小标宋简体" w:eastAsia="方正小标宋简体" w:cs="方正小标宋简体"/>
                <w:bCs/>
                <w:color w:val="000000"/>
                <w:sz w:val="36"/>
                <w:szCs w:val="36"/>
              </w:rPr>
              <w:t>宁夏回族自治区社会保险注销登记表</w:t>
            </w:r>
          </w:p>
        </w:tc>
      </w:tr>
      <w:tr>
        <w:tblPrEx>
          <w:tblLayout w:type="fixed"/>
          <w:tblCellMar>
            <w:top w:w="0" w:type="dxa"/>
            <w:left w:w="108" w:type="dxa"/>
            <w:bottom w:w="0" w:type="dxa"/>
            <w:right w:w="108" w:type="dxa"/>
          </w:tblCellMar>
        </w:tblPrEx>
        <w:trPr>
          <w:gridAfter w:val="1"/>
          <w:wAfter w:w="236" w:type="dxa"/>
          <w:trHeight w:val="472" w:hRule="atLeast"/>
        </w:trPr>
        <w:tc>
          <w:tcPr>
            <w:tcW w:w="3402"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单位统一社会信用代码:</w:t>
            </w:r>
          </w:p>
        </w:tc>
        <w:tc>
          <w:tcPr>
            <w:tcW w:w="5475" w:type="dxa"/>
            <w:gridSpan w:val="6"/>
            <w:tcBorders>
              <w:top w:val="nil"/>
              <w:left w:val="nil"/>
              <w:bottom w:val="nil"/>
              <w:right w:val="nil"/>
            </w:tcBorders>
            <w:vAlign w:val="center"/>
          </w:tcPr>
          <w:p>
            <w:pPr>
              <w:widowControl/>
              <w:ind w:firstLine="3240" w:firstLineChars="1350"/>
              <w:jc w:val="left"/>
              <w:rPr>
                <w:rFonts w:ascii="仿宋_GB2312" w:hAnsi="宋体" w:eastAsia="仿宋_GB2312" w:cs="宋体"/>
                <w:color w:val="000000"/>
                <w:kern w:val="0"/>
                <w:sz w:val="24"/>
              </w:rPr>
            </w:pPr>
            <w:r>
              <w:rPr>
                <w:rFonts w:hint="eastAsia" w:ascii="仿宋_GB2312" w:hAnsi="Times New Roman" w:eastAsia="仿宋_GB2312"/>
                <w:color w:val="000000"/>
                <w:kern w:val="0"/>
                <w:sz w:val="24"/>
              </w:rPr>
              <w:t xml:space="preserve">  </w:t>
            </w:r>
          </w:p>
        </w:tc>
      </w:tr>
      <w:tr>
        <w:tblPrEx>
          <w:tblLayout w:type="fixed"/>
          <w:tblCellMar>
            <w:top w:w="0" w:type="dxa"/>
            <w:left w:w="108" w:type="dxa"/>
            <w:bottom w:w="0" w:type="dxa"/>
            <w:right w:w="108" w:type="dxa"/>
          </w:tblCellMar>
        </w:tblPrEx>
        <w:trPr>
          <w:gridAfter w:val="1"/>
          <w:wAfter w:w="236" w:type="dxa"/>
          <w:trHeight w:val="472" w:hRule="atLeast"/>
        </w:trPr>
        <w:tc>
          <w:tcPr>
            <w:tcW w:w="3402"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w:t>
            </w:r>
            <w:r>
              <w:rPr>
                <w:rFonts w:hint="eastAsia" w:ascii="仿宋_GB2312" w:hAnsi="Times New Roman" w:eastAsia="仿宋_GB2312"/>
                <w:color w:val="000000"/>
                <w:kern w:val="0"/>
                <w:sz w:val="24"/>
              </w:rPr>
              <w:t>(</w:t>
            </w:r>
            <w:r>
              <w:rPr>
                <w:rFonts w:hint="eastAsia" w:ascii="仿宋_GB2312" w:hAnsi="宋体" w:eastAsia="仿宋_GB2312" w:cs="宋体"/>
                <w:color w:val="000000"/>
                <w:kern w:val="0"/>
                <w:sz w:val="24"/>
              </w:rPr>
              <w:t>章</w:t>
            </w:r>
            <w:r>
              <w:rPr>
                <w:rFonts w:hint="eastAsia" w:ascii="仿宋_GB2312" w:hAnsi="Times New Roman" w:eastAsia="仿宋_GB2312"/>
                <w:color w:val="000000"/>
                <w:kern w:val="0"/>
                <w:sz w:val="24"/>
              </w:rPr>
              <w:t>)</w:t>
            </w:r>
          </w:p>
        </w:tc>
        <w:tc>
          <w:tcPr>
            <w:tcW w:w="156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701" w:type="dxa"/>
            <w:gridSpan w:val="2"/>
            <w:tcBorders>
              <w:top w:val="nil"/>
              <w:left w:val="nil"/>
              <w:bottom w:val="nil"/>
              <w:right w:val="nil"/>
            </w:tcBorders>
            <w:vAlign w:val="center"/>
          </w:tcPr>
          <w:p>
            <w:pPr>
              <w:widowControl/>
              <w:jc w:val="center"/>
              <w:rPr>
                <w:rFonts w:ascii="仿宋_GB2312" w:hAnsi="Times New Roman" w:eastAsia="仿宋_GB2312"/>
                <w:color w:val="000000"/>
                <w:kern w:val="0"/>
                <w:sz w:val="24"/>
              </w:rPr>
            </w:pPr>
          </w:p>
        </w:tc>
        <w:tc>
          <w:tcPr>
            <w:tcW w:w="2214" w:type="dxa"/>
            <w:gridSpan w:val="2"/>
            <w:tcBorders>
              <w:top w:val="nil"/>
              <w:left w:val="nil"/>
              <w:bottom w:val="single" w:color="auto" w:sz="8" w:space="0"/>
              <w:right w:val="nil"/>
            </w:tcBorders>
            <w:vAlign w:val="center"/>
          </w:tcPr>
          <w:p>
            <w:pPr>
              <w:widowControl/>
              <w:ind w:right="480"/>
              <w:rPr>
                <w:rFonts w:ascii="仿宋_GB2312" w:hAnsi="宋体" w:eastAsia="仿宋_GB2312" w:cs="宋体"/>
                <w:color w:val="000000"/>
                <w:kern w:val="0"/>
                <w:sz w:val="24"/>
              </w:rPr>
            </w:pPr>
            <w:r>
              <w:rPr>
                <w:rFonts w:hint="eastAsia" w:ascii="仿宋_GB2312" w:hAnsi="宋体" w:eastAsia="仿宋_GB2312"/>
                <w:color w:val="000000"/>
                <w:kern w:val="0"/>
                <w:sz w:val="24"/>
              </w:rPr>
              <w:t>日期：</w:t>
            </w:r>
          </w:p>
        </w:tc>
      </w:tr>
      <w:tr>
        <w:tblPrEx>
          <w:tblLayout w:type="fixed"/>
          <w:tblCellMar>
            <w:top w:w="0" w:type="dxa"/>
            <w:left w:w="108" w:type="dxa"/>
            <w:bottom w:w="0" w:type="dxa"/>
            <w:right w:w="108" w:type="dxa"/>
          </w:tblCellMar>
        </w:tblPrEx>
        <w:trPr>
          <w:gridAfter w:val="1"/>
          <w:wAfter w:w="236" w:type="dxa"/>
          <w:trHeight w:val="435" w:hRule="atLeast"/>
        </w:trPr>
        <w:tc>
          <w:tcPr>
            <w:tcW w:w="3402" w:type="dxa"/>
            <w:gridSpan w:val="4"/>
            <w:tcBorders>
              <w:top w:val="single" w:color="auto" w:sz="8" w:space="0"/>
              <w:left w:val="single" w:color="auto" w:sz="8" w:space="0"/>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社会保险登记证编号</w:t>
            </w:r>
          </w:p>
        </w:tc>
        <w:tc>
          <w:tcPr>
            <w:tcW w:w="1560" w:type="dxa"/>
            <w:gridSpan w:val="2"/>
            <w:tcBorders>
              <w:top w:val="single" w:color="auto" w:sz="8" w:space="0"/>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gridSpan w:val="2"/>
            <w:tcBorders>
              <w:top w:val="single" w:color="auto" w:sz="8" w:space="0"/>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214" w:type="dxa"/>
            <w:gridSpan w:val="2"/>
            <w:tcBorders>
              <w:top w:val="nil"/>
              <w:left w:val="nil"/>
              <w:bottom w:val="single" w:color="auto" w:sz="4" w:space="0"/>
              <w:right w:val="single" w:color="auto" w:sz="4" w:space="0"/>
            </w:tcBorders>
            <w:vAlign w:val="center"/>
          </w:tcPr>
          <w:p>
            <w:pPr>
              <w:widowControl/>
              <w:jc w:val="right"/>
              <w:rPr>
                <w:rFonts w:ascii="仿宋_GB2312" w:hAnsi="Times New Roman" w:eastAsia="仿宋_GB2312"/>
                <w:color w:val="000000"/>
                <w:kern w:val="0"/>
                <w:sz w:val="24"/>
              </w:rPr>
            </w:pPr>
            <w:r>
              <w:rPr>
                <w:rFonts w:hint="eastAsia" w:ascii="仿宋_GB2312" w:hAnsi="Times New Roman" w:eastAsia="仿宋_GB2312"/>
                <w:color w:val="000000"/>
                <w:kern w:val="0"/>
                <w:sz w:val="24"/>
              </w:rPr>
              <w:t xml:space="preserve"> </w:t>
            </w:r>
          </w:p>
        </w:tc>
      </w:tr>
      <w:tr>
        <w:tblPrEx>
          <w:tblLayout w:type="fixed"/>
          <w:tblCellMar>
            <w:top w:w="0" w:type="dxa"/>
            <w:left w:w="108" w:type="dxa"/>
            <w:bottom w:w="0" w:type="dxa"/>
            <w:right w:w="108" w:type="dxa"/>
          </w:tblCellMar>
        </w:tblPrEx>
        <w:trPr>
          <w:gridAfter w:val="1"/>
          <w:wAfter w:w="236" w:type="dxa"/>
          <w:trHeight w:val="465" w:hRule="atLeast"/>
        </w:trPr>
        <w:tc>
          <w:tcPr>
            <w:tcW w:w="1276" w:type="dxa"/>
            <w:vMerge w:val="restart"/>
            <w:tcBorders>
              <w:top w:val="nil"/>
              <w:left w:val="single" w:color="auto" w:sz="8"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注销企业                                                                                            参加社会保险的情况</w:t>
            </w:r>
          </w:p>
        </w:tc>
        <w:tc>
          <w:tcPr>
            <w:tcW w:w="2126" w:type="dxa"/>
            <w:gridSpan w:val="3"/>
            <w:vMerge w:val="restart"/>
            <w:tcBorders>
              <w:top w:val="nil"/>
              <w:left w:val="single" w:color="auto" w:sz="4" w:space="0"/>
              <w:bottom w:val="single" w:color="000000" w:sz="4" w:space="0"/>
              <w:right w:val="single" w:color="auto" w:sz="4" w:space="0"/>
              <w:tl2br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险种</w:t>
            </w:r>
          </w:p>
          <w:p>
            <w:pPr>
              <w:widowControl/>
              <w:jc w:val="center"/>
              <w:rPr>
                <w:rFonts w:ascii="仿宋_GB2312" w:hAnsi="宋体" w:eastAsia="仿宋_GB2312" w:cs="宋体"/>
                <w:color w:val="000000"/>
                <w:kern w:val="0"/>
                <w:sz w:val="24"/>
              </w:rPr>
            </w:pPr>
          </w:p>
          <w:p>
            <w:pPr>
              <w:widowControl/>
              <w:ind w:firstLine="240" w:firstLineChars="100"/>
              <w:rPr>
                <w:rFonts w:ascii="仿宋_GB2312" w:hAnsi="宋体" w:eastAsia="仿宋_GB2312" w:cs="宋体"/>
                <w:color w:val="000000"/>
                <w:kern w:val="0"/>
                <w:sz w:val="24"/>
              </w:rPr>
            </w:pPr>
            <w:r>
              <w:rPr>
                <w:rFonts w:hint="eastAsia" w:ascii="仿宋_GB2312" w:hAnsi="宋体" w:eastAsia="仿宋_GB2312" w:cs="宋体"/>
                <w:color w:val="000000"/>
                <w:kern w:val="0"/>
                <w:sz w:val="24"/>
              </w:rPr>
              <w:t>项目</w:t>
            </w:r>
          </w:p>
        </w:tc>
        <w:tc>
          <w:tcPr>
            <w:tcW w:w="156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基本养老保险</w:t>
            </w:r>
          </w:p>
        </w:tc>
        <w:tc>
          <w:tcPr>
            <w:tcW w:w="1701"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失业保险</w:t>
            </w:r>
          </w:p>
        </w:tc>
        <w:tc>
          <w:tcPr>
            <w:tcW w:w="2214"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工伤保险</w:t>
            </w:r>
          </w:p>
        </w:tc>
      </w:tr>
      <w:tr>
        <w:tblPrEx>
          <w:tblLayout w:type="fixed"/>
          <w:tblCellMar>
            <w:top w:w="0" w:type="dxa"/>
            <w:left w:w="108" w:type="dxa"/>
            <w:bottom w:w="0" w:type="dxa"/>
            <w:right w:w="108" w:type="dxa"/>
          </w:tblCellMar>
        </w:tblPrEx>
        <w:trPr>
          <w:trHeight w:val="555" w:hRule="atLeast"/>
        </w:trPr>
        <w:tc>
          <w:tcPr>
            <w:tcW w:w="1276" w:type="dxa"/>
            <w:vMerge w:val="continue"/>
            <w:tcBorders>
              <w:top w:val="nil"/>
              <w:left w:val="single" w:color="auto" w:sz="8"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126" w:type="dxa"/>
            <w:gridSpan w:val="3"/>
            <w:vMerge w:val="continue"/>
            <w:tcBorders>
              <w:top w:val="single" w:color="000000" w:sz="4" w:space="0"/>
              <w:left w:val="single" w:color="auto" w:sz="4" w:space="0"/>
              <w:bottom w:val="single" w:color="000000" w:sz="4" w:space="0"/>
              <w:right w:val="single" w:color="auto" w:sz="4" w:space="0"/>
              <w:tl2br w:val="single" w:color="auto" w:sz="4" w:space="0"/>
            </w:tcBorders>
            <w:vAlign w:val="center"/>
          </w:tcPr>
          <w:p>
            <w:pPr>
              <w:widowControl/>
              <w:jc w:val="left"/>
              <w:rPr>
                <w:rFonts w:ascii="仿宋_GB2312" w:hAnsi="宋体" w:eastAsia="仿宋_GB2312" w:cs="宋体"/>
                <w:color w:val="000000"/>
                <w:kern w:val="0"/>
                <w:sz w:val="24"/>
              </w:rPr>
            </w:pPr>
          </w:p>
        </w:tc>
        <w:tc>
          <w:tcPr>
            <w:tcW w:w="156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701"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14"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36" w:type="dxa"/>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405" w:hRule="atLeast"/>
        </w:trPr>
        <w:tc>
          <w:tcPr>
            <w:tcW w:w="1276" w:type="dxa"/>
            <w:vMerge w:val="continue"/>
            <w:tcBorders>
              <w:top w:val="nil"/>
              <w:left w:val="single" w:color="auto" w:sz="8"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126"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参保职工人数</w:t>
            </w:r>
          </w:p>
        </w:tc>
        <w:tc>
          <w:tcPr>
            <w:tcW w:w="156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2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36" w:type="dxa"/>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405" w:hRule="atLeast"/>
        </w:trPr>
        <w:tc>
          <w:tcPr>
            <w:tcW w:w="1276" w:type="dxa"/>
            <w:vMerge w:val="continue"/>
            <w:tcBorders>
              <w:top w:val="nil"/>
              <w:left w:val="single" w:color="auto" w:sz="8"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126"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实际缴费人数</w:t>
            </w:r>
          </w:p>
        </w:tc>
        <w:tc>
          <w:tcPr>
            <w:tcW w:w="156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2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36" w:type="dxa"/>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405" w:hRule="atLeast"/>
        </w:trPr>
        <w:tc>
          <w:tcPr>
            <w:tcW w:w="1276" w:type="dxa"/>
            <w:vMerge w:val="continue"/>
            <w:tcBorders>
              <w:top w:val="nil"/>
              <w:left w:val="single" w:color="auto" w:sz="8"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126" w:type="dxa"/>
            <w:gridSpan w:val="3"/>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离退休人数</w:t>
            </w:r>
          </w:p>
        </w:tc>
        <w:tc>
          <w:tcPr>
            <w:tcW w:w="156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2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36" w:type="dxa"/>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585" w:hRule="atLeast"/>
        </w:trPr>
        <w:tc>
          <w:tcPr>
            <w:tcW w:w="1276" w:type="dxa"/>
            <w:vMerge w:val="continue"/>
            <w:tcBorders>
              <w:top w:val="nil"/>
              <w:left w:val="single" w:color="auto" w:sz="8"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126" w:type="dxa"/>
            <w:gridSpan w:val="3"/>
            <w:tcBorders>
              <w:top w:val="nil"/>
              <w:left w:val="nil"/>
              <w:bottom w:val="single" w:color="auto" w:sz="4" w:space="0"/>
              <w:right w:val="single" w:color="auto" w:sz="4" w:space="0"/>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截止注销日历年欠缴社会保险费</w:t>
            </w:r>
          </w:p>
        </w:tc>
        <w:tc>
          <w:tcPr>
            <w:tcW w:w="1560"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214"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36" w:type="dxa"/>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435" w:hRule="atLeast"/>
        </w:trPr>
        <w:tc>
          <w:tcPr>
            <w:tcW w:w="1276" w:type="dxa"/>
            <w:vMerge w:val="restart"/>
            <w:tcBorders>
              <w:top w:val="nil"/>
              <w:left w:val="single" w:color="auto" w:sz="8" w:space="0"/>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销</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原</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因</w:t>
            </w:r>
          </w:p>
        </w:tc>
        <w:tc>
          <w:tcPr>
            <w:tcW w:w="7601" w:type="dxa"/>
            <w:gridSpan w:val="9"/>
            <w:tcBorders>
              <w:top w:val="single" w:color="auto" w:sz="4" w:space="0"/>
              <w:left w:val="single" w:color="auto" w:sz="4" w:space="0"/>
              <w:bottom w:val="nil"/>
              <w:right w:val="single" w:color="auto" w:sz="4" w:space="0"/>
            </w:tcBorders>
            <w:vAlign w:val="center"/>
          </w:tcPr>
          <w:p>
            <w:pPr>
              <w:widowControl/>
              <w:jc w:val="left"/>
              <w:rPr>
                <w:rFonts w:ascii="仿宋_GB2312" w:hAnsi="Times New Roman" w:eastAsia="仿宋_GB2312"/>
                <w:color w:val="000000"/>
                <w:kern w:val="0"/>
                <w:sz w:val="24"/>
              </w:rPr>
            </w:pPr>
            <w:r>
              <w:rPr>
                <w:rFonts w:hint="eastAsia" w:ascii="仿宋_GB2312" w:hAnsi="宋体" w:eastAsia="仿宋_GB2312" w:cs="宋体"/>
                <w:color w:val="000000"/>
                <w:kern w:val="0"/>
                <w:sz w:val="24"/>
              </w:rPr>
              <w:t>企业破产□；</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解散□；</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合并□；</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分离□；</w:t>
            </w:r>
            <w:r>
              <w:rPr>
                <w:rFonts w:hint="eastAsia" w:ascii="仿宋_GB2312" w:hAnsi="Times New Roman" w:eastAsia="仿宋_GB2312"/>
                <w:color w:val="000000"/>
                <w:kern w:val="0"/>
                <w:sz w:val="24"/>
              </w:rPr>
              <w:t xml:space="preserve">   </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被工商部门吊销执照□；</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其他□</w:t>
            </w:r>
            <w:r>
              <w:rPr>
                <w:rFonts w:hint="eastAsia" w:ascii="仿宋_GB2312" w:hAnsi="Times New Roman" w:eastAsia="仿宋_GB2312"/>
                <w:color w:val="000000"/>
                <w:kern w:val="0"/>
                <w:sz w:val="24"/>
              </w:rPr>
              <w:t xml:space="preserve">  </w:t>
            </w:r>
          </w:p>
        </w:tc>
        <w:tc>
          <w:tcPr>
            <w:tcW w:w="236" w:type="dxa"/>
            <w:tcBorders>
              <w:left w:val="single" w:color="auto" w:sz="4" w:space="0"/>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420" w:hRule="atLeast"/>
        </w:trPr>
        <w:tc>
          <w:tcPr>
            <w:tcW w:w="1276" w:type="dxa"/>
            <w:vMerge w:val="continue"/>
            <w:tcBorders>
              <w:top w:val="nil"/>
              <w:left w:val="single" w:color="auto" w:sz="8"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3686" w:type="dxa"/>
            <w:gridSpan w:val="5"/>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需补充说明的问题：</w:t>
            </w:r>
          </w:p>
        </w:tc>
        <w:tc>
          <w:tcPr>
            <w:tcW w:w="1701"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2214" w:type="dxa"/>
            <w:gridSpan w:val="2"/>
            <w:tcBorders>
              <w:top w:val="nil"/>
              <w:left w:val="nil"/>
              <w:bottom w:val="nil"/>
              <w:right w:val="single" w:color="auto" w:sz="4" w:space="0"/>
            </w:tcBorders>
            <w:vAlign w:val="center"/>
          </w:tcPr>
          <w:p>
            <w:pPr>
              <w:widowControl/>
              <w:jc w:val="center"/>
              <w:rPr>
                <w:rFonts w:ascii="仿宋_GB2312" w:hAnsi="Times New Roman" w:eastAsia="仿宋_GB2312"/>
                <w:color w:val="000000"/>
                <w:kern w:val="0"/>
                <w:sz w:val="24"/>
              </w:rPr>
            </w:pPr>
          </w:p>
        </w:tc>
        <w:tc>
          <w:tcPr>
            <w:tcW w:w="236" w:type="dxa"/>
            <w:tcBorders>
              <w:left w:val="single" w:color="auto" w:sz="4" w:space="0"/>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195" w:hRule="atLeast"/>
        </w:trPr>
        <w:tc>
          <w:tcPr>
            <w:tcW w:w="1276" w:type="dxa"/>
            <w:vMerge w:val="continue"/>
            <w:tcBorders>
              <w:top w:val="nil"/>
              <w:left w:val="single" w:color="auto" w:sz="8"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7601" w:type="dxa"/>
            <w:gridSpan w:val="9"/>
            <w:vMerge w:val="restart"/>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36" w:type="dxa"/>
            <w:tcBorders>
              <w:left w:val="single" w:color="auto" w:sz="4" w:space="0"/>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165" w:hRule="atLeast"/>
        </w:trPr>
        <w:tc>
          <w:tcPr>
            <w:tcW w:w="1276" w:type="dxa"/>
            <w:vMerge w:val="continue"/>
            <w:tcBorders>
              <w:top w:val="nil"/>
              <w:left w:val="single" w:color="auto" w:sz="8"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7601" w:type="dxa"/>
            <w:gridSpan w:val="9"/>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236" w:type="dxa"/>
            <w:tcBorders>
              <w:top w:val="nil"/>
              <w:left w:val="single" w:color="auto" w:sz="4" w:space="0"/>
              <w:bottom w:val="nil"/>
              <w:right w:val="nil"/>
            </w:tcBorders>
            <w:vAlign w:val="center"/>
          </w:tcPr>
          <w:p>
            <w:pPr>
              <w:widowControl/>
              <w:jc w:val="center"/>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90" w:hRule="atLeast"/>
        </w:trPr>
        <w:tc>
          <w:tcPr>
            <w:tcW w:w="1276" w:type="dxa"/>
            <w:vMerge w:val="continue"/>
            <w:tcBorders>
              <w:top w:val="nil"/>
              <w:left w:val="single" w:color="auto" w:sz="8"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7601" w:type="dxa"/>
            <w:gridSpan w:val="9"/>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236" w:type="dxa"/>
            <w:tcBorders>
              <w:top w:val="nil"/>
              <w:left w:val="single" w:color="auto" w:sz="4" w:space="0"/>
              <w:bottom w:val="nil"/>
              <w:right w:val="nil"/>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100" w:hRule="atLeast"/>
        </w:trPr>
        <w:tc>
          <w:tcPr>
            <w:tcW w:w="1276" w:type="dxa"/>
            <w:vMerge w:val="continue"/>
            <w:tcBorders>
              <w:top w:val="nil"/>
              <w:left w:val="single" w:color="auto" w:sz="8"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601" w:type="dxa"/>
            <w:gridSpan w:val="9"/>
            <w:vMerge w:val="continue"/>
            <w:tcBorders>
              <w:top w:val="nil"/>
              <w:left w:val="single" w:color="auto" w:sz="4" w:space="0"/>
              <w:bottom w:val="nil"/>
              <w:right w:val="single" w:color="auto" w:sz="4" w:space="0"/>
            </w:tcBorders>
            <w:vAlign w:val="center"/>
          </w:tcPr>
          <w:p>
            <w:pPr>
              <w:widowControl/>
              <w:jc w:val="left"/>
              <w:rPr>
                <w:rFonts w:ascii="仿宋_GB2312" w:hAnsi="宋体" w:eastAsia="仿宋_GB2312" w:cs="宋体"/>
                <w:color w:val="000000"/>
                <w:kern w:val="0"/>
                <w:sz w:val="24"/>
              </w:rPr>
            </w:pPr>
          </w:p>
        </w:tc>
        <w:tc>
          <w:tcPr>
            <w:tcW w:w="236" w:type="dxa"/>
            <w:tcBorders>
              <w:top w:val="nil"/>
              <w:left w:val="single" w:color="auto" w:sz="4" w:space="0"/>
              <w:bottom w:val="nil"/>
              <w:right w:val="nil"/>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398" w:hRule="atLeast"/>
        </w:trPr>
        <w:tc>
          <w:tcPr>
            <w:tcW w:w="1276" w:type="dxa"/>
            <w:vMerge w:val="restart"/>
            <w:tcBorders>
              <w:top w:val="single" w:color="auto" w:sz="4" w:space="0"/>
              <w:left w:val="single" w:color="auto" w:sz="8"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提供有效</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证件</w:t>
            </w:r>
          </w:p>
        </w:tc>
        <w:tc>
          <w:tcPr>
            <w:tcW w:w="7601" w:type="dxa"/>
            <w:gridSpan w:val="9"/>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Times New Roman" w:eastAsia="仿宋_GB2312"/>
                <w:color w:val="000000"/>
                <w:kern w:val="0"/>
                <w:sz w:val="24"/>
              </w:rPr>
            </w:pPr>
            <w:r>
              <w:rPr>
                <w:rFonts w:hint="eastAsia" w:ascii="仿宋_GB2312" w:hAnsi="Times New Roman" w:eastAsia="仿宋_GB2312"/>
                <w:color w:val="000000"/>
                <w:kern w:val="0"/>
                <w:sz w:val="24"/>
              </w:rPr>
              <w:t>　</w:t>
            </w:r>
          </w:p>
        </w:tc>
        <w:tc>
          <w:tcPr>
            <w:tcW w:w="236" w:type="dxa"/>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804" w:hRule="atLeast"/>
        </w:trPr>
        <w:tc>
          <w:tcPr>
            <w:tcW w:w="1276" w:type="dxa"/>
            <w:vMerge w:val="continue"/>
            <w:tcBorders>
              <w:top w:val="nil"/>
              <w:left w:val="single" w:color="auto" w:sz="8"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7601" w:type="dxa"/>
            <w:gridSpan w:val="9"/>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Times New Roman" w:eastAsia="仿宋_GB2312"/>
                <w:color w:val="000000"/>
                <w:kern w:val="0"/>
                <w:sz w:val="24"/>
              </w:rPr>
            </w:pPr>
          </w:p>
        </w:tc>
        <w:tc>
          <w:tcPr>
            <w:tcW w:w="236" w:type="dxa"/>
            <w:tcBorders>
              <w:top w:val="nil"/>
              <w:left w:val="nil"/>
              <w:bottom w:val="nil"/>
              <w:right w:val="nil"/>
            </w:tcBorders>
            <w:vAlign w:val="center"/>
          </w:tcPr>
          <w:p>
            <w:pPr>
              <w:widowControl/>
              <w:jc w:val="center"/>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641" w:hRule="atLeast"/>
        </w:trPr>
        <w:tc>
          <w:tcPr>
            <w:tcW w:w="1276" w:type="dxa"/>
            <w:tcBorders>
              <w:top w:val="nil"/>
              <w:left w:val="single" w:color="auto" w:sz="8"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注销后</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去向说明</w:t>
            </w:r>
          </w:p>
        </w:tc>
        <w:tc>
          <w:tcPr>
            <w:tcW w:w="7601" w:type="dxa"/>
            <w:gridSpan w:val="9"/>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36" w:type="dxa"/>
            <w:tcBorders>
              <w:left w:val="single" w:color="auto" w:sz="4" w:space="0"/>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675" w:hRule="atLeast"/>
        </w:trPr>
        <w:tc>
          <w:tcPr>
            <w:tcW w:w="4962" w:type="dxa"/>
            <w:gridSpan w:val="6"/>
            <w:tcBorders>
              <w:top w:val="single" w:color="auto" w:sz="4" w:space="0"/>
              <w:left w:val="single" w:color="auto" w:sz="8" w:space="0"/>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社会保险经办机构意见：</w:t>
            </w:r>
          </w:p>
        </w:tc>
        <w:tc>
          <w:tcPr>
            <w:tcW w:w="1701"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214" w:type="dxa"/>
            <w:gridSpan w:val="2"/>
            <w:tcBorders>
              <w:top w:val="nil"/>
              <w:left w:val="nil"/>
              <w:bottom w:val="nil"/>
              <w:right w:val="single" w:color="auto" w:sz="4" w:space="0"/>
            </w:tcBorders>
            <w:vAlign w:val="center"/>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36" w:type="dxa"/>
            <w:tcBorders>
              <w:left w:val="single" w:color="auto" w:sz="4" w:space="0"/>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405" w:hRule="atLeast"/>
        </w:trPr>
        <w:tc>
          <w:tcPr>
            <w:tcW w:w="1276" w:type="dxa"/>
            <w:tcBorders>
              <w:top w:val="nil"/>
              <w:left w:val="single" w:color="auto" w:sz="8" w:space="0"/>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26" w:type="dxa"/>
            <w:gridSpan w:val="3"/>
            <w:tcBorders>
              <w:top w:val="nil"/>
              <w:left w:val="nil"/>
              <w:bottom w:val="nil"/>
              <w:right w:val="nil"/>
            </w:tcBorders>
            <w:vAlign w:val="center"/>
          </w:tcPr>
          <w:p>
            <w:pPr>
              <w:widowControl/>
              <w:jc w:val="center"/>
              <w:rPr>
                <w:rFonts w:ascii="仿宋_GB2312" w:hAnsi="宋体" w:eastAsia="仿宋_GB2312" w:cs="宋体"/>
                <w:color w:val="000000"/>
                <w:kern w:val="0"/>
                <w:sz w:val="24"/>
              </w:rPr>
            </w:pPr>
          </w:p>
        </w:tc>
        <w:tc>
          <w:tcPr>
            <w:tcW w:w="1560" w:type="dxa"/>
            <w:gridSpan w:val="2"/>
            <w:tcBorders>
              <w:top w:val="nil"/>
              <w:left w:val="nil"/>
              <w:bottom w:val="nil"/>
              <w:right w:val="nil"/>
            </w:tcBorders>
            <w:vAlign w:val="bottom"/>
          </w:tcPr>
          <w:p>
            <w:pPr>
              <w:widowControl/>
              <w:jc w:val="center"/>
              <w:rPr>
                <w:rFonts w:ascii="仿宋_GB2312" w:hAnsi="Times New Roman" w:eastAsia="仿宋_GB2312"/>
                <w:color w:val="000000"/>
                <w:kern w:val="0"/>
                <w:sz w:val="24"/>
              </w:rPr>
            </w:pPr>
          </w:p>
        </w:tc>
        <w:tc>
          <w:tcPr>
            <w:tcW w:w="1701" w:type="dxa"/>
            <w:gridSpan w:val="2"/>
            <w:tcBorders>
              <w:top w:val="nil"/>
              <w:left w:val="nil"/>
              <w:bottom w:val="nil"/>
              <w:right w:val="nil"/>
            </w:tcBorders>
            <w:vAlign w:val="bottom"/>
          </w:tcPr>
          <w:p>
            <w:pPr>
              <w:widowControl/>
              <w:jc w:val="center"/>
              <w:rPr>
                <w:rFonts w:ascii="仿宋_GB2312" w:hAnsi="Times New Roman" w:eastAsia="仿宋_GB2312"/>
                <w:color w:val="000000"/>
                <w:kern w:val="0"/>
                <w:sz w:val="24"/>
              </w:rPr>
            </w:pPr>
          </w:p>
        </w:tc>
        <w:tc>
          <w:tcPr>
            <w:tcW w:w="2214" w:type="dxa"/>
            <w:gridSpan w:val="2"/>
            <w:tcBorders>
              <w:top w:val="nil"/>
              <w:left w:val="nil"/>
              <w:bottom w:val="nil"/>
              <w:right w:val="single" w:color="auto" w:sz="4" w:space="0"/>
            </w:tcBorders>
            <w:vAlign w:val="bottom"/>
          </w:tcPr>
          <w:p>
            <w:pPr>
              <w:widowControl/>
              <w:jc w:val="center"/>
              <w:rPr>
                <w:rFonts w:ascii="仿宋_GB2312" w:hAnsi="Times New Roman" w:eastAsia="仿宋_GB2312"/>
                <w:color w:val="000000"/>
                <w:kern w:val="0"/>
                <w:sz w:val="24"/>
              </w:rPr>
            </w:pPr>
          </w:p>
        </w:tc>
        <w:tc>
          <w:tcPr>
            <w:tcW w:w="236" w:type="dxa"/>
            <w:tcBorders>
              <w:left w:val="single" w:color="auto" w:sz="4" w:space="0"/>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390" w:hRule="atLeast"/>
        </w:trPr>
        <w:tc>
          <w:tcPr>
            <w:tcW w:w="1276" w:type="dxa"/>
            <w:tcBorders>
              <w:top w:val="nil"/>
              <w:left w:val="single" w:color="auto" w:sz="8" w:space="0"/>
              <w:bottom w:val="nil"/>
              <w:right w:val="nil"/>
            </w:tcBorders>
            <w:vAlign w:val="center"/>
          </w:tcPr>
          <w:p>
            <w:pPr>
              <w:widowControl/>
              <w:jc w:val="center"/>
              <w:rPr>
                <w:rFonts w:ascii="仿宋_GB2312" w:hAnsi="Times New Roman" w:eastAsia="仿宋_GB2312"/>
                <w:color w:val="000000"/>
                <w:kern w:val="0"/>
                <w:sz w:val="24"/>
              </w:rPr>
            </w:pPr>
            <w:r>
              <w:rPr>
                <w:rFonts w:hint="eastAsia" w:ascii="仿宋_GB2312" w:hAnsi="Times New Roman" w:eastAsia="仿宋_GB2312"/>
                <w:color w:val="000000"/>
                <w:kern w:val="0"/>
                <w:sz w:val="24"/>
              </w:rPr>
              <w:t>　</w:t>
            </w:r>
          </w:p>
        </w:tc>
        <w:tc>
          <w:tcPr>
            <w:tcW w:w="2126" w:type="dxa"/>
            <w:gridSpan w:val="3"/>
            <w:tcBorders>
              <w:top w:val="nil"/>
              <w:left w:val="nil"/>
              <w:bottom w:val="nil"/>
              <w:right w:val="nil"/>
            </w:tcBorders>
            <w:vAlign w:val="center"/>
          </w:tcPr>
          <w:p>
            <w:pPr>
              <w:widowControl/>
              <w:jc w:val="center"/>
              <w:rPr>
                <w:rFonts w:ascii="仿宋_GB2312" w:hAnsi="Times New Roman" w:eastAsia="仿宋_GB2312"/>
                <w:color w:val="000000"/>
                <w:kern w:val="0"/>
                <w:sz w:val="24"/>
              </w:rPr>
            </w:pPr>
          </w:p>
        </w:tc>
        <w:tc>
          <w:tcPr>
            <w:tcW w:w="1560" w:type="dxa"/>
            <w:gridSpan w:val="2"/>
            <w:tcBorders>
              <w:top w:val="nil"/>
              <w:left w:val="nil"/>
              <w:bottom w:val="nil"/>
              <w:right w:val="nil"/>
            </w:tcBorders>
            <w:vAlign w:val="center"/>
          </w:tcPr>
          <w:p>
            <w:pPr>
              <w:widowControl/>
              <w:jc w:val="center"/>
              <w:rPr>
                <w:rFonts w:ascii="仿宋_GB2312" w:hAnsi="Times New Roman" w:eastAsia="仿宋_GB2312"/>
                <w:color w:val="000000"/>
                <w:kern w:val="0"/>
                <w:sz w:val="24"/>
              </w:rPr>
            </w:pPr>
          </w:p>
        </w:tc>
        <w:tc>
          <w:tcPr>
            <w:tcW w:w="1701" w:type="dxa"/>
            <w:gridSpan w:val="2"/>
            <w:tcBorders>
              <w:top w:val="nil"/>
              <w:left w:val="nil"/>
              <w:bottom w:val="nil"/>
              <w:right w:val="nil"/>
            </w:tcBorders>
            <w:vAlign w:val="center"/>
          </w:tcPr>
          <w:p>
            <w:pPr>
              <w:widowControl/>
              <w:jc w:val="center"/>
              <w:rPr>
                <w:rFonts w:ascii="仿宋_GB2312" w:hAnsi="Times New Roman" w:eastAsia="仿宋_GB2312"/>
                <w:color w:val="000000"/>
                <w:kern w:val="0"/>
                <w:sz w:val="24"/>
              </w:rPr>
            </w:pPr>
          </w:p>
        </w:tc>
        <w:tc>
          <w:tcPr>
            <w:tcW w:w="2214" w:type="dxa"/>
            <w:gridSpan w:val="2"/>
            <w:tcBorders>
              <w:top w:val="nil"/>
              <w:left w:val="nil"/>
              <w:bottom w:val="nil"/>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经办人：</w:t>
            </w:r>
          </w:p>
        </w:tc>
        <w:tc>
          <w:tcPr>
            <w:tcW w:w="236" w:type="dxa"/>
            <w:tcBorders>
              <w:left w:val="single" w:color="auto" w:sz="4" w:space="0"/>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345" w:hRule="atLeast"/>
        </w:trPr>
        <w:tc>
          <w:tcPr>
            <w:tcW w:w="3402" w:type="dxa"/>
            <w:gridSpan w:val="4"/>
            <w:tcBorders>
              <w:top w:val="nil"/>
              <w:left w:val="single" w:color="auto" w:sz="8" w:space="0"/>
              <w:bottom w:val="single" w:color="auto" w:sz="4" w:space="0"/>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60" w:type="dxa"/>
            <w:gridSpan w:val="2"/>
            <w:tcBorders>
              <w:top w:val="nil"/>
              <w:left w:val="nil"/>
              <w:bottom w:val="single" w:color="auto" w:sz="4" w:space="0"/>
              <w:right w:val="nil"/>
            </w:tcBorders>
            <w:vAlign w:val="bottom"/>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gridSpan w:val="2"/>
            <w:tcBorders>
              <w:top w:val="nil"/>
              <w:left w:val="nil"/>
              <w:bottom w:val="single" w:color="auto" w:sz="4" w:space="0"/>
              <w:right w:val="nil"/>
            </w:tcBorders>
            <w:vAlign w:val="bottom"/>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214" w:type="dxa"/>
            <w:gridSpan w:val="2"/>
            <w:tcBorders>
              <w:top w:val="nil"/>
              <w:left w:val="nil"/>
              <w:bottom w:val="single" w:color="auto" w:sz="4" w:space="0"/>
              <w:right w:val="single" w:color="auto" w:sz="4" w:space="0"/>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年</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月</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日</w:t>
            </w:r>
          </w:p>
        </w:tc>
        <w:tc>
          <w:tcPr>
            <w:tcW w:w="236" w:type="dxa"/>
            <w:tcBorders>
              <w:left w:val="single" w:color="auto" w:sz="4" w:space="0"/>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645" w:hRule="atLeast"/>
        </w:trPr>
        <w:tc>
          <w:tcPr>
            <w:tcW w:w="3402" w:type="dxa"/>
            <w:gridSpan w:val="4"/>
            <w:tcBorders>
              <w:top w:val="single" w:color="auto" w:sz="4" w:space="0"/>
              <w:left w:val="single" w:color="auto" w:sz="8" w:space="0"/>
              <w:bottom w:val="single" w:color="auto" w:sz="8"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社会保险登记证</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注销日期</w:t>
            </w:r>
          </w:p>
        </w:tc>
        <w:tc>
          <w:tcPr>
            <w:tcW w:w="5475" w:type="dxa"/>
            <w:gridSpan w:val="6"/>
            <w:tcBorders>
              <w:top w:val="single" w:color="auto" w:sz="4" w:space="0"/>
              <w:left w:val="nil"/>
              <w:bottom w:val="single" w:color="auto" w:sz="8" w:space="0"/>
              <w:right w:val="single" w:color="auto" w:sz="4" w:space="0"/>
            </w:tcBorders>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36" w:type="dxa"/>
            <w:tcBorders>
              <w:left w:val="single" w:color="auto" w:sz="4" w:space="0"/>
            </w:tcBorders>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420" w:hRule="atLeast"/>
        </w:trPr>
        <w:tc>
          <w:tcPr>
            <w:tcW w:w="8877" w:type="dxa"/>
            <w:gridSpan w:val="10"/>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缴费单位制表人(章)：     社保机构受理人(章)：        社保机构(章)：</w:t>
            </w:r>
          </w:p>
        </w:tc>
        <w:tc>
          <w:tcPr>
            <w:tcW w:w="236" w:type="dxa"/>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420" w:hRule="atLeast"/>
        </w:trPr>
        <w:tc>
          <w:tcPr>
            <w:tcW w:w="8877" w:type="dxa"/>
            <w:gridSpan w:val="10"/>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缴费单位负责人(章)：     社保机构审核人(章)：</w:t>
            </w:r>
          </w:p>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备注：本表填报一式两份，登记单位、社会保险经办机构各一份。</w:t>
            </w:r>
          </w:p>
        </w:tc>
        <w:tc>
          <w:tcPr>
            <w:tcW w:w="236" w:type="dxa"/>
            <w:vAlign w:val="center"/>
          </w:tcPr>
          <w:p>
            <w:pPr>
              <w:widowControl/>
              <w:jc w:val="left"/>
              <w:rPr>
                <w:rFonts w:ascii="仿宋_GB2312" w:hAnsi="Times New Roman" w:eastAsia="仿宋_GB2312"/>
                <w:color w:val="000000"/>
                <w:kern w:val="0"/>
                <w:sz w:val="24"/>
              </w:rPr>
            </w:pPr>
          </w:p>
        </w:tc>
      </w:tr>
      <w:tr>
        <w:tblPrEx>
          <w:tblLayout w:type="fixed"/>
          <w:tblCellMar>
            <w:top w:w="0" w:type="dxa"/>
            <w:left w:w="108" w:type="dxa"/>
            <w:bottom w:w="0" w:type="dxa"/>
            <w:right w:w="108" w:type="dxa"/>
          </w:tblCellMar>
        </w:tblPrEx>
        <w:trPr>
          <w:trHeight w:val="735" w:hRule="atLeast"/>
        </w:trPr>
        <w:tc>
          <w:tcPr>
            <w:tcW w:w="9113" w:type="dxa"/>
            <w:gridSpan w:val="11"/>
            <w:tcBorders>
              <w:top w:val="nil"/>
              <w:left w:val="nil"/>
              <w:bottom w:val="nil"/>
              <w:right w:val="nil"/>
            </w:tcBorders>
            <w:vAlign w:val="center"/>
          </w:tcPr>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附件4</w:t>
            </w:r>
          </w:p>
          <w:p>
            <w:pPr>
              <w:widowControl/>
              <w:jc w:val="center"/>
              <w:rPr>
                <w:rFonts w:ascii="仿宋_GB2312" w:hAnsi="宋体" w:eastAsia="仿宋_GB2312" w:cs="宋体"/>
                <w:b/>
                <w:bCs/>
                <w:color w:val="000000"/>
                <w:kern w:val="0"/>
                <w:sz w:val="36"/>
                <w:szCs w:val="36"/>
              </w:rPr>
            </w:pPr>
            <w:r>
              <w:rPr>
                <w:rFonts w:hint="eastAsia" w:ascii="方正小标宋简体" w:hAnsi="方正小标宋简体" w:eastAsia="方正小标宋简体" w:cs="方正小标宋简体"/>
                <w:bCs/>
                <w:color w:val="000000"/>
                <w:sz w:val="36"/>
                <w:szCs w:val="36"/>
              </w:rPr>
              <w:t>宁夏回族自治区职工工伤保险待遇申报确认表</w:t>
            </w:r>
          </w:p>
        </w:tc>
      </w:tr>
      <w:tr>
        <w:tblPrEx>
          <w:tblLayout w:type="fixed"/>
          <w:tblCellMar>
            <w:top w:w="0" w:type="dxa"/>
            <w:left w:w="108" w:type="dxa"/>
            <w:bottom w:w="0" w:type="dxa"/>
            <w:right w:w="108" w:type="dxa"/>
          </w:tblCellMar>
        </w:tblPrEx>
        <w:trPr>
          <w:trHeight w:val="435" w:hRule="atLeast"/>
        </w:trPr>
        <w:tc>
          <w:tcPr>
            <w:tcW w:w="1513" w:type="dxa"/>
            <w:gridSpan w:val="2"/>
            <w:tcBorders>
              <w:top w:val="nil"/>
              <w:left w:val="nil"/>
              <w:bottom w:val="nil"/>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w:t>
            </w:r>
          </w:p>
        </w:tc>
        <w:tc>
          <w:tcPr>
            <w:tcW w:w="1289" w:type="dxa"/>
            <w:tcBorders>
              <w:top w:val="nil"/>
              <w:left w:val="nil"/>
              <w:bottom w:val="nil"/>
              <w:right w:val="nil"/>
            </w:tcBorders>
            <w:vAlign w:val="bottom"/>
          </w:tcPr>
          <w:p>
            <w:pPr>
              <w:widowControl/>
              <w:jc w:val="left"/>
              <w:rPr>
                <w:rFonts w:ascii="仿宋_GB2312" w:hAnsi="宋体" w:eastAsia="仿宋_GB2312" w:cs="宋体"/>
                <w:color w:val="000000"/>
                <w:kern w:val="0"/>
                <w:sz w:val="24"/>
              </w:rPr>
            </w:pPr>
          </w:p>
        </w:tc>
        <w:tc>
          <w:tcPr>
            <w:tcW w:w="1113"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4"/>
              </w:rPr>
            </w:pPr>
          </w:p>
        </w:tc>
        <w:tc>
          <w:tcPr>
            <w:tcW w:w="1047" w:type="dxa"/>
            <w:tcBorders>
              <w:top w:val="nil"/>
              <w:left w:val="nil"/>
              <w:bottom w:val="nil"/>
              <w:right w:val="nil"/>
            </w:tcBorders>
            <w:vAlign w:val="bottom"/>
          </w:tcPr>
          <w:p>
            <w:pPr>
              <w:widowControl/>
              <w:jc w:val="left"/>
              <w:rPr>
                <w:rFonts w:ascii="仿宋_GB2312" w:hAnsi="宋体" w:eastAsia="仿宋_GB2312" w:cs="宋体"/>
                <w:color w:val="000000"/>
                <w:kern w:val="0"/>
                <w:sz w:val="24"/>
              </w:rPr>
            </w:pPr>
          </w:p>
        </w:tc>
        <w:tc>
          <w:tcPr>
            <w:tcW w:w="4151" w:type="dxa"/>
            <w:gridSpan w:val="5"/>
            <w:tcBorders>
              <w:top w:val="nil"/>
              <w:left w:val="nil"/>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申报日期：  </w:t>
            </w:r>
          </w:p>
        </w:tc>
      </w:tr>
      <w:tr>
        <w:tblPrEx>
          <w:tblLayout w:type="fixed"/>
          <w:tblCellMar>
            <w:top w:w="0" w:type="dxa"/>
            <w:left w:w="108" w:type="dxa"/>
            <w:bottom w:w="0" w:type="dxa"/>
            <w:right w:w="108" w:type="dxa"/>
          </w:tblCellMar>
        </w:tblPrEx>
        <w:trPr>
          <w:trHeight w:val="540" w:hRule="atLeast"/>
        </w:trPr>
        <w:tc>
          <w:tcPr>
            <w:tcW w:w="15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   名</w:t>
            </w:r>
          </w:p>
        </w:tc>
        <w:tc>
          <w:tcPr>
            <w:tcW w:w="128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6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   别</w:t>
            </w:r>
          </w:p>
        </w:tc>
        <w:tc>
          <w:tcPr>
            <w:tcW w:w="11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1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出生年月</w:t>
            </w:r>
          </w:p>
        </w:tc>
        <w:tc>
          <w:tcPr>
            <w:tcW w:w="124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40" w:hRule="atLeast"/>
        </w:trPr>
        <w:tc>
          <w:tcPr>
            <w:tcW w:w="1513"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w:t>
            </w:r>
          </w:p>
        </w:tc>
        <w:tc>
          <w:tcPr>
            <w:tcW w:w="4635" w:type="dxa"/>
            <w:gridSpan w:val="5"/>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1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个人编号</w:t>
            </w:r>
          </w:p>
        </w:tc>
        <w:tc>
          <w:tcPr>
            <w:tcW w:w="124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40" w:hRule="atLeast"/>
        </w:trPr>
        <w:tc>
          <w:tcPr>
            <w:tcW w:w="1513"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工伤发生</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1289"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6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工伤认定时间</w:t>
            </w:r>
          </w:p>
        </w:tc>
        <w:tc>
          <w:tcPr>
            <w:tcW w:w="118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16"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工亡时间</w:t>
            </w:r>
          </w:p>
        </w:tc>
        <w:tc>
          <w:tcPr>
            <w:tcW w:w="124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40" w:hRule="atLeast"/>
        </w:trPr>
        <w:tc>
          <w:tcPr>
            <w:tcW w:w="1513" w:type="dxa"/>
            <w:gridSpan w:val="2"/>
            <w:tcBorders>
              <w:top w:val="nil"/>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伤残鉴定</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时间</w:t>
            </w:r>
          </w:p>
        </w:tc>
        <w:tc>
          <w:tcPr>
            <w:tcW w:w="1289" w:type="dxa"/>
            <w:tcBorders>
              <w:top w:val="nil"/>
              <w:left w:val="nil"/>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160" w:type="dxa"/>
            <w:gridSpan w:val="3"/>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伤残等级</w:t>
            </w:r>
          </w:p>
        </w:tc>
        <w:tc>
          <w:tcPr>
            <w:tcW w:w="1186" w:type="dxa"/>
            <w:tcBorders>
              <w:top w:val="nil"/>
              <w:left w:val="nil"/>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16" w:type="dxa"/>
            <w:gridSpan w:val="2"/>
            <w:tcBorders>
              <w:top w:val="nil"/>
              <w:left w:val="nil"/>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护理等级</w:t>
            </w:r>
          </w:p>
        </w:tc>
        <w:tc>
          <w:tcPr>
            <w:tcW w:w="1249" w:type="dxa"/>
            <w:gridSpan w:val="2"/>
            <w:tcBorders>
              <w:top w:val="nil"/>
              <w:left w:val="nil"/>
              <w:bottom w:val="nil"/>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73" w:hRule="atLeast"/>
        </w:trPr>
        <w:tc>
          <w:tcPr>
            <w:tcW w:w="151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工伤部位</w:t>
            </w:r>
          </w:p>
        </w:tc>
        <w:tc>
          <w:tcPr>
            <w:tcW w:w="7600" w:type="dxa"/>
            <w:gridSpan w:val="9"/>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600" w:hRule="atLeast"/>
        </w:trPr>
        <w:tc>
          <w:tcPr>
            <w:tcW w:w="2802"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待遇领取人</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 □个人）</w:t>
            </w:r>
          </w:p>
        </w:tc>
        <w:tc>
          <w:tcPr>
            <w:tcW w:w="6311" w:type="dxa"/>
            <w:gridSpan w:val="8"/>
            <w:tcBorders>
              <w:top w:val="single" w:color="auto" w:sz="4" w:space="0"/>
              <w:left w:val="nil"/>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80" w:hRule="atLeast"/>
        </w:trPr>
        <w:tc>
          <w:tcPr>
            <w:tcW w:w="151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开户银行</w:t>
            </w:r>
          </w:p>
        </w:tc>
        <w:tc>
          <w:tcPr>
            <w:tcW w:w="240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233"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□单位帐号</w:t>
            </w:r>
            <w:r>
              <w:rPr>
                <w:rFonts w:hint="eastAsia" w:ascii="仿宋_GB2312" w:hAnsi="宋体" w:eastAsia="仿宋_GB2312" w:cs="宋体"/>
                <w:color w:val="000000"/>
                <w:kern w:val="0"/>
                <w:sz w:val="24"/>
              </w:rPr>
              <w:br w:type="textWrapping"/>
            </w:r>
            <w:r>
              <w:rPr>
                <w:rFonts w:hint="eastAsia" w:ascii="仿宋_GB2312" w:hAnsi="宋体" w:eastAsia="仿宋_GB2312" w:cs="宋体"/>
                <w:color w:val="000000"/>
                <w:kern w:val="0"/>
                <w:sz w:val="24"/>
              </w:rPr>
              <w:t>□个人社保卡金融账户</w:t>
            </w:r>
          </w:p>
        </w:tc>
        <w:tc>
          <w:tcPr>
            <w:tcW w:w="2965" w:type="dxa"/>
            <w:gridSpan w:val="4"/>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312" w:hRule="atLeast"/>
        </w:trPr>
        <w:tc>
          <w:tcPr>
            <w:tcW w:w="151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40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2233"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2965"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384" w:hRule="atLeast"/>
        </w:trPr>
        <w:tc>
          <w:tcPr>
            <w:tcW w:w="9113" w:type="dxa"/>
            <w:gridSpan w:val="11"/>
            <w:tcBorders>
              <w:top w:val="single" w:color="auto" w:sz="4" w:space="0"/>
              <w:left w:val="single" w:color="auto" w:sz="4" w:space="0"/>
              <w:bottom w:val="nil"/>
              <w:right w:val="single" w:color="000000"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申报待遇类别：（相应内容栏打“√”确认）</w:t>
            </w:r>
          </w:p>
        </w:tc>
      </w:tr>
      <w:tr>
        <w:tblPrEx>
          <w:tblLayout w:type="fixed"/>
          <w:tblCellMar>
            <w:top w:w="0" w:type="dxa"/>
            <w:left w:w="108" w:type="dxa"/>
            <w:bottom w:w="0" w:type="dxa"/>
            <w:right w:w="108" w:type="dxa"/>
          </w:tblCellMar>
        </w:tblPrEx>
        <w:trPr>
          <w:trHeight w:val="480" w:hRule="atLeast"/>
        </w:trPr>
        <w:tc>
          <w:tcPr>
            <w:tcW w:w="2802" w:type="dxa"/>
            <w:gridSpan w:val="3"/>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1、工伤医疗费</w:t>
            </w:r>
          </w:p>
        </w:tc>
        <w:tc>
          <w:tcPr>
            <w:tcW w:w="3346"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6、一次性伤残补助金</w:t>
            </w:r>
          </w:p>
        </w:tc>
        <w:tc>
          <w:tcPr>
            <w:tcW w:w="2965" w:type="dxa"/>
            <w:gridSpan w:val="4"/>
            <w:tcBorders>
              <w:top w:val="nil"/>
              <w:left w:val="nil"/>
              <w:bottom w:val="nil"/>
              <w:right w:val="single" w:color="000000"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11、丧葬补助金</w:t>
            </w:r>
          </w:p>
        </w:tc>
      </w:tr>
      <w:tr>
        <w:tblPrEx>
          <w:tblLayout w:type="fixed"/>
          <w:tblCellMar>
            <w:top w:w="0" w:type="dxa"/>
            <w:left w:w="108" w:type="dxa"/>
            <w:bottom w:w="0" w:type="dxa"/>
            <w:right w:w="108" w:type="dxa"/>
          </w:tblCellMar>
        </w:tblPrEx>
        <w:trPr>
          <w:trHeight w:val="480" w:hRule="atLeast"/>
        </w:trPr>
        <w:tc>
          <w:tcPr>
            <w:tcW w:w="2802" w:type="dxa"/>
            <w:gridSpan w:val="3"/>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2、工伤康复费</w:t>
            </w:r>
          </w:p>
        </w:tc>
        <w:tc>
          <w:tcPr>
            <w:tcW w:w="3346"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7、一次性工伤医疗补助金</w:t>
            </w:r>
          </w:p>
        </w:tc>
        <w:tc>
          <w:tcPr>
            <w:tcW w:w="2965" w:type="dxa"/>
            <w:gridSpan w:val="4"/>
            <w:tcBorders>
              <w:top w:val="nil"/>
              <w:left w:val="nil"/>
              <w:bottom w:val="nil"/>
              <w:right w:val="single" w:color="000000"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12、供养亲属抚恤金</w:t>
            </w:r>
          </w:p>
        </w:tc>
      </w:tr>
      <w:tr>
        <w:tblPrEx>
          <w:tblLayout w:type="fixed"/>
          <w:tblCellMar>
            <w:top w:w="0" w:type="dxa"/>
            <w:left w:w="108" w:type="dxa"/>
            <w:bottom w:w="0" w:type="dxa"/>
            <w:right w:w="108" w:type="dxa"/>
          </w:tblCellMar>
        </w:tblPrEx>
        <w:trPr>
          <w:trHeight w:val="480" w:hRule="atLeast"/>
        </w:trPr>
        <w:tc>
          <w:tcPr>
            <w:tcW w:w="2802" w:type="dxa"/>
            <w:gridSpan w:val="3"/>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3、辅助器具配置费</w:t>
            </w:r>
          </w:p>
        </w:tc>
        <w:tc>
          <w:tcPr>
            <w:tcW w:w="3346"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8、伤残津贴</w:t>
            </w:r>
          </w:p>
        </w:tc>
        <w:tc>
          <w:tcPr>
            <w:tcW w:w="1716"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9" w:type="dxa"/>
            <w:gridSpan w:val="2"/>
            <w:tcBorders>
              <w:top w:val="nil"/>
              <w:left w:val="nil"/>
              <w:bottom w:val="nil"/>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80" w:hRule="atLeast"/>
        </w:trPr>
        <w:tc>
          <w:tcPr>
            <w:tcW w:w="2802" w:type="dxa"/>
            <w:gridSpan w:val="3"/>
            <w:tcBorders>
              <w:top w:val="nil"/>
              <w:left w:val="single" w:color="auto" w:sz="4" w:space="0"/>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4、住院伙食补助费</w:t>
            </w:r>
          </w:p>
        </w:tc>
        <w:tc>
          <w:tcPr>
            <w:tcW w:w="3346"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9、生活护理费</w:t>
            </w:r>
          </w:p>
        </w:tc>
        <w:tc>
          <w:tcPr>
            <w:tcW w:w="1716"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249" w:type="dxa"/>
            <w:gridSpan w:val="2"/>
            <w:tcBorders>
              <w:top w:val="nil"/>
              <w:left w:val="nil"/>
              <w:bottom w:val="nil"/>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480" w:hRule="atLeast"/>
        </w:trPr>
        <w:tc>
          <w:tcPr>
            <w:tcW w:w="2802" w:type="dxa"/>
            <w:gridSpan w:val="3"/>
            <w:tcBorders>
              <w:top w:val="nil"/>
              <w:left w:val="single" w:color="auto" w:sz="4" w:space="0"/>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5、外地就医交通食宿费</w:t>
            </w:r>
          </w:p>
        </w:tc>
        <w:tc>
          <w:tcPr>
            <w:tcW w:w="3346" w:type="dxa"/>
            <w:gridSpan w:val="4"/>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10、一次性工亡补助金</w:t>
            </w:r>
          </w:p>
        </w:tc>
        <w:tc>
          <w:tcPr>
            <w:tcW w:w="1716" w:type="dxa"/>
            <w:gridSpan w:val="2"/>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4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684" w:hRule="atLeast"/>
        </w:trPr>
        <w:tc>
          <w:tcPr>
            <w:tcW w:w="1513" w:type="dxa"/>
            <w:gridSpan w:val="2"/>
            <w:vMerge w:val="restart"/>
            <w:tcBorders>
              <w:top w:val="nil"/>
              <w:left w:val="single" w:color="auto" w:sz="4" w:space="0"/>
              <w:right w:val="single" w:color="auto" w:sz="4" w:space="0"/>
            </w:tcBorders>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申请人意见</w:t>
            </w:r>
          </w:p>
        </w:tc>
        <w:tc>
          <w:tcPr>
            <w:tcW w:w="7600" w:type="dxa"/>
            <w:gridSpan w:val="9"/>
            <w:tcBorders>
              <w:top w:val="nil"/>
              <w:left w:val="nil"/>
              <w:bottom w:val="nil"/>
              <w:right w:val="single" w:color="000000" w:sz="4" w:space="0"/>
            </w:tcBorders>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可通过我的宁夏手机APP&gt;人社公共服务&gt;工伤保险&gt;查询工伤保险待遇信息。</w:t>
            </w:r>
          </w:p>
        </w:tc>
      </w:tr>
      <w:tr>
        <w:tblPrEx>
          <w:tblLayout w:type="fixed"/>
          <w:tblCellMar>
            <w:top w:w="0" w:type="dxa"/>
            <w:left w:w="108" w:type="dxa"/>
            <w:bottom w:w="0" w:type="dxa"/>
            <w:right w:w="108" w:type="dxa"/>
          </w:tblCellMar>
        </w:tblPrEx>
        <w:trPr>
          <w:trHeight w:val="900" w:hRule="atLeast"/>
        </w:trPr>
        <w:tc>
          <w:tcPr>
            <w:tcW w:w="1513" w:type="dxa"/>
            <w:gridSpan w:val="2"/>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rPr>
            </w:pPr>
          </w:p>
        </w:tc>
        <w:tc>
          <w:tcPr>
            <w:tcW w:w="3449"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职工本人签字：</w:t>
            </w:r>
          </w:p>
        </w:tc>
        <w:tc>
          <w:tcPr>
            <w:tcW w:w="4151" w:type="dxa"/>
            <w:gridSpan w:val="5"/>
            <w:tcBorders>
              <w:top w:val="nil"/>
              <w:left w:val="nil"/>
              <w:bottom w:val="nil"/>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单位：（盖章）</w:t>
            </w:r>
          </w:p>
        </w:tc>
      </w:tr>
      <w:tr>
        <w:tblPrEx>
          <w:tblLayout w:type="fixed"/>
          <w:tblCellMar>
            <w:top w:w="0" w:type="dxa"/>
            <w:left w:w="108" w:type="dxa"/>
            <w:bottom w:w="0" w:type="dxa"/>
            <w:right w:w="108" w:type="dxa"/>
          </w:tblCellMar>
        </w:tblPrEx>
        <w:trPr>
          <w:trHeight w:val="423" w:hRule="atLeast"/>
        </w:trPr>
        <w:tc>
          <w:tcPr>
            <w:tcW w:w="1513" w:type="dxa"/>
            <w:gridSpan w:val="2"/>
            <w:vMerge w:val="continue"/>
            <w:tcBorders>
              <w:left w:val="single" w:color="auto" w:sz="4" w:space="0"/>
              <w:bottom w:val="nil"/>
              <w:right w:val="single" w:color="auto" w:sz="4" w:space="0"/>
            </w:tcBorders>
            <w:vAlign w:val="center"/>
          </w:tcPr>
          <w:p>
            <w:pPr>
              <w:widowControl/>
              <w:jc w:val="center"/>
              <w:rPr>
                <w:rFonts w:ascii="仿宋_GB2312" w:hAnsi="宋体" w:eastAsia="仿宋_GB2312" w:cs="宋体"/>
                <w:color w:val="000000"/>
                <w:kern w:val="0"/>
                <w:sz w:val="24"/>
              </w:rPr>
            </w:pPr>
          </w:p>
        </w:tc>
        <w:tc>
          <w:tcPr>
            <w:tcW w:w="2402" w:type="dxa"/>
            <w:gridSpan w:val="3"/>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日</w:t>
            </w:r>
          </w:p>
        </w:tc>
        <w:tc>
          <w:tcPr>
            <w:tcW w:w="5198" w:type="dxa"/>
            <w:gridSpan w:val="6"/>
            <w:tcBorders>
              <w:top w:val="nil"/>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日</w:t>
            </w:r>
          </w:p>
        </w:tc>
      </w:tr>
      <w:tr>
        <w:tblPrEx>
          <w:tblLayout w:type="fixed"/>
          <w:tblCellMar>
            <w:top w:w="0" w:type="dxa"/>
            <w:left w:w="108" w:type="dxa"/>
            <w:bottom w:w="0" w:type="dxa"/>
            <w:right w:w="108" w:type="dxa"/>
          </w:tblCellMar>
        </w:tblPrEx>
        <w:trPr>
          <w:trHeight w:val="519" w:hRule="atLeast"/>
        </w:trPr>
        <w:tc>
          <w:tcPr>
            <w:tcW w:w="1513" w:type="dxa"/>
            <w:gridSpan w:val="2"/>
            <w:vMerge w:val="restart"/>
            <w:tcBorders>
              <w:top w:val="single" w:color="auto" w:sz="4" w:space="0"/>
              <w:left w:val="single" w:color="auto" w:sz="4" w:space="0"/>
              <w:right w:val="single" w:color="auto" w:sz="4" w:space="0"/>
            </w:tcBorders>
            <w:vAlign w:val="center"/>
          </w:tcPr>
          <w:p>
            <w:pPr>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经办机构审核意见</w:t>
            </w:r>
          </w:p>
        </w:tc>
        <w:tc>
          <w:tcPr>
            <w:tcW w:w="1289" w:type="dxa"/>
            <w:tcBorders>
              <w:top w:val="nil"/>
              <w:left w:val="nil"/>
              <w:bottom w:val="nil"/>
              <w:right w:val="nil"/>
            </w:tcBorders>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13"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047" w:type="dxa"/>
            <w:tcBorders>
              <w:top w:val="nil"/>
              <w:left w:val="nil"/>
              <w:bottom w:val="nil"/>
              <w:right w:val="nil"/>
            </w:tcBorders>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86" w:type="dxa"/>
            <w:tcBorders>
              <w:top w:val="nil"/>
              <w:left w:val="nil"/>
              <w:bottom w:val="nil"/>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16"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249" w:type="dxa"/>
            <w:gridSpan w:val="2"/>
            <w:tcBorders>
              <w:top w:val="nil"/>
              <w:left w:val="nil"/>
              <w:bottom w:val="nil"/>
              <w:right w:val="single" w:color="auto" w:sz="4" w:space="0"/>
            </w:tcBorders>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519" w:hRule="atLeast"/>
        </w:trPr>
        <w:tc>
          <w:tcPr>
            <w:tcW w:w="1513" w:type="dxa"/>
            <w:gridSpan w:val="2"/>
            <w:vMerge w:val="continue"/>
            <w:tcBorders>
              <w:left w:val="single" w:color="auto" w:sz="4" w:space="0"/>
              <w:right w:val="single" w:color="auto" w:sz="4" w:space="0"/>
            </w:tcBorders>
            <w:vAlign w:val="center"/>
          </w:tcPr>
          <w:p>
            <w:pPr>
              <w:jc w:val="center"/>
              <w:rPr>
                <w:rFonts w:ascii="仿宋_GB2312" w:hAnsi="宋体" w:eastAsia="仿宋_GB2312" w:cs="宋体"/>
                <w:color w:val="000000"/>
                <w:kern w:val="0"/>
                <w:sz w:val="24"/>
              </w:rPr>
            </w:pPr>
          </w:p>
        </w:tc>
        <w:tc>
          <w:tcPr>
            <w:tcW w:w="1289" w:type="dxa"/>
            <w:tcBorders>
              <w:top w:val="nil"/>
              <w:left w:val="nil"/>
              <w:bottom w:val="nil"/>
              <w:right w:val="nil"/>
            </w:tcBorders>
            <w:vAlign w:val="bottom"/>
          </w:tcPr>
          <w:p>
            <w:pPr>
              <w:widowControl/>
              <w:jc w:val="left"/>
              <w:rPr>
                <w:rFonts w:ascii="仿宋_GB2312" w:hAnsi="宋体" w:eastAsia="仿宋_GB2312" w:cs="宋体"/>
                <w:color w:val="000000"/>
                <w:kern w:val="0"/>
                <w:sz w:val="24"/>
              </w:rPr>
            </w:pPr>
          </w:p>
        </w:tc>
        <w:tc>
          <w:tcPr>
            <w:tcW w:w="1113"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经办人：</w:t>
            </w:r>
          </w:p>
        </w:tc>
        <w:tc>
          <w:tcPr>
            <w:tcW w:w="1047" w:type="dxa"/>
            <w:tcBorders>
              <w:top w:val="nil"/>
              <w:left w:val="nil"/>
              <w:bottom w:val="nil"/>
              <w:right w:val="nil"/>
            </w:tcBorders>
            <w:vAlign w:val="center"/>
          </w:tcPr>
          <w:p>
            <w:pPr>
              <w:widowControl/>
              <w:jc w:val="left"/>
              <w:rPr>
                <w:rFonts w:ascii="仿宋_GB2312" w:hAnsi="宋体" w:eastAsia="仿宋_GB2312" w:cs="宋体"/>
                <w:color w:val="000000"/>
                <w:kern w:val="0"/>
                <w:sz w:val="24"/>
              </w:rPr>
            </w:pPr>
          </w:p>
        </w:tc>
        <w:tc>
          <w:tcPr>
            <w:tcW w:w="1186" w:type="dxa"/>
            <w:tcBorders>
              <w:top w:val="nil"/>
              <w:left w:val="nil"/>
              <w:bottom w:val="nil"/>
              <w:right w:val="nil"/>
            </w:tcBorders>
            <w:vAlign w:val="bottom"/>
          </w:tcPr>
          <w:p>
            <w:pPr>
              <w:widowControl/>
              <w:jc w:val="left"/>
              <w:rPr>
                <w:rFonts w:ascii="仿宋_GB2312" w:hAnsi="宋体" w:eastAsia="仿宋_GB2312" w:cs="宋体"/>
                <w:color w:val="000000"/>
                <w:kern w:val="0"/>
                <w:sz w:val="24"/>
              </w:rPr>
            </w:pPr>
          </w:p>
        </w:tc>
        <w:tc>
          <w:tcPr>
            <w:tcW w:w="2965" w:type="dxa"/>
            <w:gridSpan w:val="4"/>
            <w:tcBorders>
              <w:top w:val="nil"/>
              <w:left w:val="nil"/>
              <w:bottom w:val="nil"/>
              <w:right w:val="single" w:color="000000"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单位：（盖章）</w:t>
            </w:r>
          </w:p>
        </w:tc>
      </w:tr>
      <w:tr>
        <w:tblPrEx>
          <w:tblLayout w:type="fixed"/>
          <w:tblCellMar>
            <w:top w:w="0" w:type="dxa"/>
            <w:left w:w="108" w:type="dxa"/>
            <w:bottom w:w="0" w:type="dxa"/>
            <w:right w:w="108" w:type="dxa"/>
          </w:tblCellMar>
        </w:tblPrEx>
        <w:trPr>
          <w:trHeight w:val="519" w:hRule="atLeast"/>
        </w:trPr>
        <w:tc>
          <w:tcPr>
            <w:tcW w:w="1513" w:type="dxa"/>
            <w:gridSpan w:val="2"/>
            <w:vMerge w:val="continue"/>
            <w:tcBorders>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p>
        </w:tc>
        <w:tc>
          <w:tcPr>
            <w:tcW w:w="1289" w:type="dxa"/>
            <w:tcBorders>
              <w:top w:val="nil"/>
              <w:left w:val="nil"/>
              <w:bottom w:val="single" w:color="auto" w:sz="4" w:space="0"/>
              <w:right w:val="nil"/>
            </w:tcBorders>
            <w:vAlign w:val="bottom"/>
          </w:tcPr>
          <w:p>
            <w:pPr>
              <w:widowControl/>
              <w:jc w:val="left"/>
              <w:rPr>
                <w:rFonts w:ascii="仿宋_GB2312" w:hAnsi="宋体" w:eastAsia="仿宋_GB2312" w:cs="宋体"/>
                <w:color w:val="000000"/>
                <w:kern w:val="0"/>
                <w:sz w:val="24"/>
              </w:rPr>
            </w:pPr>
          </w:p>
        </w:tc>
        <w:tc>
          <w:tcPr>
            <w:tcW w:w="1113" w:type="dxa"/>
            <w:gridSpan w:val="2"/>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p>
        </w:tc>
        <w:tc>
          <w:tcPr>
            <w:tcW w:w="1047" w:type="dxa"/>
            <w:tcBorders>
              <w:top w:val="nil"/>
              <w:left w:val="nil"/>
              <w:bottom w:val="single" w:color="auto" w:sz="4" w:space="0"/>
              <w:right w:val="nil"/>
            </w:tcBorders>
            <w:vAlign w:val="center"/>
          </w:tcPr>
          <w:p>
            <w:pPr>
              <w:widowControl/>
              <w:jc w:val="left"/>
              <w:rPr>
                <w:rFonts w:ascii="仿宋_GB2312" w:hAnsi="宋体" w:eastAsia="仿宋_GB2312" w:cs="宋体"/>
                <w:color w:val="000000"/>
                <w:kern w:val="0"/>
                <w:sz w:val="24"/>
              </w:rPr>
            </w:pPr>
          </w:p>
        </w:tc>
        <w:tc>
          <w:tcPr>
            <w:tcW w:w="1186" w:type="dxa"/>
            <w:tcBorders>
              <w:top w:val="nil"/>
              <w:left w:val="nil"/>
              <w:bottom w:val="single" w:color="auto" w:sz="4" w:space="0"/>
              <w:right w:val="nil"/>
            </w:tcBorders>
            <w:vAlign w:val="bottom"/>
          </w:tcPr>
          <w:p>
            <w:pPr>
              <w:widowControl/>
              <w:jc w:val="left"/>
              <w:rPr>
                <w:rFonts w:ascii="仿宋_GB2312" w:hAnsi="宋体" w:eastAsia="仿宋_GB2312" w:cs="宋体"/>
                <w:color w:val="000000"/>
                <w:kern w:val="0"/>
                <w:sz w:val="24"/>
              </w:rPr>
            </w:pPr>
          </w:p>
        </w:tc>
        <w:tc>
          <w:tcPr>
            <w:tcW w:w="2965" w:type="dxa"/>
            <w:gridSpan w:val="4"/>
            <w:tcBorders>
              <w:top w:val="nil"/>
              <w:left w:val="nil"/>
              <w:bottom w:val="single" w:color="auto" w:sz="4" w:space="0"/>
              <w:right w:val="single" w:color="000000"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年    月    日</w:t>
            </w:r>
          </w:p>
        </w:tc>
      </w:tr>
      <w:tr>
        <w:tblPrEx>
          <w:tblLayout w:type="fixed"/>
          <w:tblCellMar>
            <w:top w:w="0" w:type="dxa"/>
            <w:left w:w="108" w:type="dxa"/>
            <w:bottom w:w="0" w:type="dxa"/>
            <w:right w:w="108" w:type="dxa"/>
          </w:tblCellMar>
        </w:tblPrEx>
        <w:trPr>
          <w:trHeight w:val="510" w:hRule="atLeast"/>
        </w:trPr>
        <w:tc>
          <w:tcPr>
            <w:tcW w:w="9113" w:type="dxa"/>
            <w:gridSpan w:val="11"/>
            <w:tcBorders>
              <w:top w:val="single" w:color="auto" w:sz="4" w:space="0"/>
              <w:bottom w:val="nil"/>
            </w:tcBorders>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备注：工伤职工申领医疗待遇、伤残待遇时无需单位签章。单位申领待遇时需工伤职工本人或近亲属签字。</w:t>
            </w:r>
          </w:p>
        </w:tc>
      </w:tr>
    </w:tbl>
    <w:p>
      <w:pPr>
        <w:widowControl/>
        <w:spacing w:line="360" w:lineRule="exact"/>
        <w:rPr>
          <w:rFonts w:ascii="仿宋_GB2312" w:eastAsia="仿宋_GB2312"/>
          <w:sz w:val="24"/>
        </w:rPr>
        <w:sectPr>
          <w:footerReference r:id="rId3" w:type="default"/>
          <w:footerReference r:id="rId4" w:type="even"/>
          <w:pgSz w:w="11906" w:h="16838"/>
          <w:pgMar w:top="1984" w:right="1474" w:bottom="1474" w:left="1587" w:header="851" w:footer="850" w:gutter="0"/>
          <w:cols w:space="0" w:num="1"/>
          <w:docGrid w:type="lines" w:linePitch="312" w:charSpace="0"/>
        </w:sectPr>
      </w:pP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附件5</w:t>
      </w: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工伤保险跨省异地就医备案表</w:t>
      </w:r>
    </w:p>
    <w:p>
      <w:pPr>
        <w:autoSpaceDN w:val="0"/>
        <w:ind w:right="1050" w:rightChars="500"/>
        <w:jc w:val="right"/>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lang w:eastAsia="zh-Hans"/>
        </w:rPr>
        <w:t>编号：</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01"/>
        <w:gridCol w:w="2272"/>
        <w:gridCol w:w="1566"/>
        <w:gridCol w:w="21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7" w:type="dxa"/>
            <w:vMerge w:val="restart"/>
            <w:vAlign w:val="center"/>
          </w:tcPr>
          <w:p>
            <w:pPr>
              <w:autoSpaceDN w:val="0"/>
              <w:jc w:val="center"/>
              <w:textAlignment w:val="center"/>
              <w:rPr>
                <w:rFonts w:ascii="仿宋_GB2312" w:hAnsi="Times New Roman" w:eastAsia="仿宋_GB2312"/>
                <w:color w:val="000000"/>
                <w:sz w:val="24"/>
              </w:rPr>
            </w:pPr>
          </w:p>
          <w:p>
            <w:pPr>
              <w:autoSpaceDN w:val="0"/>
              <w:jc w:val="center"/>
              <w:textAlignment w:val="center"/>
              <w:rPr>
                <w:rFonts w:ascii="仿宋_GB2312" w:hAnsi="Times New Roman" w:eastAsia="仿宋_GB2312"/>
                <w:color w:val="000000"/>
                <w:sz w:val="24"/>
              </w:rPr>
            </w:pPr>
            <w:r>
              <w:rPr>
                <w:rFonts w:hint="eastAsia" w:ascii="仿宋_GB2312" w:hAnsi="Times New Roman" w:eastAsia="仿宋_GB2312"/>
                <w:color w:val="000000"/>
                <w:sz w:val="24"/>
                <w:lang w:eastAsia="zh-Hans"/>
              </w:rPr>
              <w:t>工伤职工</w:t>
            </w:r>
            <w:r>
              <w:rPr>
                <w:rFonts w:hint="eastAsia" w:ascii="仿宋_GB2312" w:hAnsi="Times New Roman" w:eastAsia="仿宋_GB2312"/>
                <w:color w:val="000000"/>
                <w:sz w:val="24"/>
              </w:rPr>
              <w:t>基本信息</w:t>
            </w:r>
          </w:p>
          <w:p>
            <w:pPr>
              <w:autoSpaceDN w:val="0"/>
              <w:jc w:val="center"/>
              <w:textAlignment w:val="center"/>
              <w:rPr>
                <w:rFonts w:ascii="仿宋_GB2312" w:hAnsi="Times New Roman" w:eastAsia="仿宋_GB2312"/>
                <w:color w:val="000000"/>
                <w:sz w:val="24"/>
              </w:rPr>
            </w:pPr>
          </w:p>
        </w:tc>
        <w:tc>
          <w:tcPr>
            <w:tcW w:w="1701" w:type="dxa"/>
            <w:vAlign w:val="center"/>
          </w:tcPr>
          <w:p>
            <w:pPr>
              <w:autoSpaceDN w:val="0"/>
              <w:jc w:val="center"/>
              <w:textAlignment w:val="center"/>
              <w:rPr>
                <w:rFonts w:ascii="仿宋_GB2312" w:hAnsi="Times New Roman" w:eastAsia="仿宋_GB2312"/>
                <w:color w:val="000000"/>
                <w:sz w:val="24"/>
              </w:rPr>
            </w:pPr>
            <w:r>
              <w:rPr>
                <w:rFonts w:hint="eastAsia" w:ascii="仿宋_GB2312" w:hAnsi="Times New Roman" w:eastAsia="仿宋_GB2312"/>
                <w:color w:val="000000"/>
                <w:sz w:val="24"/>
              </w:rPr>
              <w:t>姓名</w:t>
            </w:r>
          </w:p>
        </w:tc>
        <w:tc>
          <w:tcPr>
            <w:tcW w:w="2272" w:type="dxa"/>
            <w:vAlign w:val="center"/>
          </w:tcPr>
          <w:p>
            <w:pPr>
              <w:autoSpaceDN w:val="0"/>
              <w:jc w:val="center"/>
              <w:textAlignment w:val="center"/>
              <w:rPr>
                <w:rFonts w:ascii="仿宋_GB2312" w:hAnsi="Times New Roman" w:eastAsia="仿宋_GB2312"/>
                <w:color w:val="000000"/>
                <w:sz w:val="24"/>
              </w:rPr>
            </w:pPr>
          </w:p>
        </w:tc>
        <w:tc>
          <w:tcPr>
            <w:tcW w:w="1566" w:type="dxa"/>
            <w:vAlign w:val="center"/>
          </w:tcPr>
          <w:p>
            <w:pPr>
              <w:autoSpaceDN w:val="0"/>
              <w:jc w:val="center"/>
              <w:textAlignment w:val="center"/>
              <w:rPr>
                <w:rFonts w:ascii="仿宋_GB2312" w:hAnsi="Times New Roman" w:eastAsia="仿宋_GB2312"/>
                <w:color w:val="000000"/>
                <w:sz w:val="24"/>
              </w:rPr>
            </w:pPr>
            <w:r>
              <w:rPr>
                <w:rFonts w:hint="eastAsia" w:ascii="仿宋_GB2312" w:hAnsi="Times New Roman" w:eastAsia="仿宋_GB2312"/>
                <w:color w:val="000000"/>
                <w:sz w:val="24"/>
              </w:rPr>
              <w:t>性别</w:t>
            </w:r>
          </w:p>
        </w:tc>
        <w:tc>
          <w:tcPr>
            <w:tcW w:w="2166" w:type="dxa"/>
            <w:vAlign w:val="bottom"/>
          </w:tcPr>
          <w:p>
            <w:pPr>
              <w:autoSpaceDN w:val="0"/>
              <w:jc w:val="center"/>
              <w:textAlignment w:val="center"/>
              <w:rPr>
                <w:rFonts w:ascii="仿宋_GB2312"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7" w:type="dxa"/>
            <w:vMerge w:val="continue"/>
            <w:vAlign w:val="center"/>
          </w:tcPr>
          <w:p>
            <w:pPr>
              <w:autoSpaceDN w:val="0"/>
              <w:jc w:val="center"/>
              <w:textAlignment w:val="center"/>
              <w:rPr>
                <w:rFonts w:ascii="仿宋_GB2312" w:hAnsi="Times New Roman" w:eastAsia="仿宋_GB2312"/>
                <w:color w:val="000000"/>
                <w:sz w:val="24"/>
              </w:rPr>
            </w:pPr>
          </w:p>
        </w:tc>
        <w:tc>
          <w:tcPr>
            <w:tcW w:w="1701" w:type="dxa"/>
            <w:vAlign w:val="center"/>
          </w:tcPr>
          <w:p>
            <w:pPr>
              <w:autoSpaceDN w:val="0"/>
              <w:jc w:val="center"/>
              <w:textAlignment w:val="center"/>
              <w:rPr>
                <w:rFonts w:ascii="仿宋_GB2312" w:hAnsi="Times New Roman" w:eastAsia="仿宋_GB2312"/>
                <w:color w:val="000000"/>
                <w:sz w:val="24"/>
              </w:rPr>
            </w:pPr>
            <w:r>
              <w:rPr>
                <w:rFonts w:hint="eastAsia" w:ascii="仿宋_GB2312" w:hAnsi="Times New Roman" w:eastAsia="仿宋_GB2312"/>
                <w:color w:val="000000"/>
                <w:sz w:val="24"/>
              </w:rPr>
              <w:t>公民身份号码</w:t>
            </w:r>
          </w:p>
        </w:tc>
        <w:tc>
          <w:tcPr>
            <w:tcW w:w="2272" w:type="dxa"/>
            <w:vAlign w:val="center"/>
          </w:tcPr>
          <w:p>
            <w:pPr>
              <w:autoSpaceDN w:val="0"/>
              <w:jc w:val="left"/>
              <w:textAlignment w:val="bottom"/>
              <w:rPr>
                <w:rFonts w:ascii="仿宋_GB2312" w:hAnsi="Times New Roman" w:eastAsia="仿宋_GB2312"/>
                <w:color w:val="000000"/>
                <w:sz w:val="24"/>
              </w:rPr>
            </w:pPr>
          </w:p>
        </w:tc>
        <w:tc>
          <w:tcPr>
            <w:tcW w:w="1566" w:type="dxa"/>
            <w:vAlign w:val="center"/>
          </w:tcPr>
          <w:p>
            <w:pPr>
              <w:autoSpaceDN w:val="0"/>
              <w:jc w:val="center"/>
              <w:textAlignment w:val="bottom"/>
              <w:rPr>
                <w:rFonts w:ascii="仿宋_GB2312" w:hAnsi="Times New Roman" w:eastAsia="仿宋_GB2312"/>
                <w:color w:val="000000"/>
                <w:sz w:val="24"/>
                <w:lang w:eastAsia="zh-Hans"/>
              </w:rPr>
            </w:pPr>
            <w:r>
              <w:rPr>
                <w:rFonts w:hint="eastAsia" w:ascii="仿宋_GB2312" w:hAnsi="Times New Roman" w:eastAsia="仿宋_GB2312"/>
                <w:color w:val="000000"/>
                <w:sz w:val="24"/>
                <w:lang w:eastAsia="zh-Hans"/>
              </w:rPr>
              <w:t>受伤部位</w:t>
            </w:r>
          </w:p>
        </w:tc>
        <w:tc>
          <w:tcPr>
            <w:tcW w:w="2166" w:type="dxa"/>
            <w:vAlign w:val="center"/>
          </w:tcPr>
          <w:p>
            <w:pPr>
              <w:autoSpaceDN w:val="0"/>
              <w:jc w:val="left"/>
              <w:textAlignment w:val="bottom"/>
              <w:rPr>
                <w:rFonts w:ascii="仿宋_GB2312"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7" w:type="dxa"/>
            <w:vMerge w:val="continue"/>
            <w:vAlign w:val="center"/>
          </w:tcPr>
          <w:p>
            <w:pPr>
              <w:autoSpaceDN w:val="0"/>
              <w:jc w:val="center"/>
              <w:textAlignment w:val="center"/>
              <w:rPr>
                <w:rFonts w:ascii="仿宋_GB2312" w:hAnsi="Times New Roman" w:eastAsia="仿宋_GB2312"/>
                <w:color w:val="000000"/>
                <w:sz w:val="24"/>
              </w:rPr>
            </w:pPr>
          </w:p>
        </w:tc>
        <w:tc>
          <w:tcPr>
            <w:tcW w:w="1701" w:type="dxa"/>
            <w:vAlign w:val="center"/>
          </w:tcPr>
          <w:p>
            <w:pPr>
              <w:autoSpaceDN w:val="0"/>
              <w:jc w:val="center"/>
              <w:textAlignment w:val="center"/>
              <w:rPr>
                <w:rFonts w:ascii="仿宋_GB2312" w:hAnsi="Times New Roman" w:eastAsia="仿宋_GB2312"/>
                <w:color w:val="000000"/>
                <w:sz w:val="24"/>
              </w:rPr>
            </w:pPr>
            <w:r>
              <w:rPr>
                <w:rFonts w:hint="eastAsia" w:ascii="仿宋_GB2312" w:hAnsi="Times New Roman" w:eastAsia="仿宋_GB2312"/>
                <w:color w:val="000000"/>
                <w:spacing w:val="-10"/>
                <w:sz w:val="24"/>
                <w:lang w:eastAsia="zh-Hans"/>
              </w:rPr>
              <w:t>工伤认定决定书文（编）号</w:t>
            </w:r>
          </w:p>
        </w:tc>
        <w:tc>
          <w:tcPr>
            <w:tcW w:w="2272" w:type="dxa"/>
            <w:vAlign w:val="center"/>
          </w:tcPr>
          <w:p>
            <w:pPr>
              <w:autoSpaceDN w:val="0"/>
              <w:jc w:val="center"/>
              <w:textAlignment w:val="center"/>
              <w:rPr>
                <w:rFonts w:ascii="仿宋_GB2312" w:hAnsi="Times New Roman" w:eastAsia="仿宋_GB2312"/>
                <w:color w:val="000000"/>
                <w:sz w:val="24"/>
              </w:rPr>
            </w:pPr>
          </w:p>
        </w:tc>
        <w:tc>
          <w:tcPr>
            <w:tcW w:w="1566" w:type="dxa"/>
            <w:vAlign w:val="center"/>
          </w:tcPr>
          <w:p>
            <w:pPr>
              <w:autoSpaceDN w:val="0"/>
              <w:jc w:val="center"/>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rPr>
              <w:t>联系电话</w:t>
            </w:r>
          </w:p>
        </w:tc>
        <w:tc>
          <w:tcPr>
            <w:tcW w:w="2166" w:type="dxa"/>
            <w:vAlign w:val="bottom"/>
          </w:tcPr>
          <w:p>
            <w:pPr>
              <w:autoSpaceDN w:val="0"/>
              <w:jc w:val="left"/>
              <w:textAlignment w:val="bottom"/>
              <w:rPr>
                <w:rFonts w:ascii="仿宋_GB2312"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7" w:type="dxa"/>
            <w:vMerge w:val="continue"/>
            <w:vAlign w:val="center"/>
          </w:tcPr>
          <w:p>
            <w:pPr>
              <w:autoSpaceDN w:val="0"/>
              <w:jc w:val="center"/>
              <w:textAlignment w:val="center"/>
              <w:rPr>
                <w:rFonts w:ascii="仿宋_GB2312" w:hAnsi="Times New Roman" w:eastAsia="仿宋_GB2312"/>
                <w:color w:val="000000"/>
                <w:sz w:val="24"/>
                <w:lang w:eastAsia="zh-Hans"/>
              </w:rPr>
            </w:pPr>
          </w:p>
        </w:tc>
        <w:tc>
          <w:tcPr>
            <w:tcW w:w="1701" w:type="dxa"/>
            <w:vAlign w:val="center"/>
          </w:tcPr>
          <w:p>
            <w:pPr>
              <w:autoSpaceDN w:val="0"/>
              <w:jc w:val="center"/>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lang w:eastAsia="zh-Hans"/>
              </w:rPr>
              <w:t>联系地址</w:t>
            </w:r>
          </w:p>
        </w:tc>
        <w:tc>
          <w:tcPr>
            <w:tcW w:w="6004" w:type="dxa"/>
            <w:gridSpan w:val="3"/>
            <w:vAlign w:val="center"/>
          </w:tcPr>
          <w:p>
            <w:pPr>
              <w:autoSpaceDN w:val="0"/>
              <w:jc w:val="center"/>
              <w:textAlignment w:val="bottom"/>
              <w:rPr>
                <w:rFonts w:ascii="仿宋_GB2312"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7" w:type="dxa"/>
            <w:vMerge w:val="restart"/>
            <w:vAlign w:val="center"/>
          </w:tcPr>
          <w:p>
            <w:pPr>
              <w:autoSpaceDN w:val="0"/>
              <w:jc w:val="center"/>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lang w:eastAsia="zh-Hans"/>
              </w:rPr>
              <w:t>备案信息</w:t>
            </w:r>
          </w:p>
        </w:tc>
        <w:tc>
          <w:tcPr>
            <w:tcW w:w="1701" w:type="dxa"/>
            <w:vAlign w:val="center"/>
          </w:tcPr>
          <w:p>
            <w:pPr>
              <w:autoSpaceDN w:val="0"/>
              <w:jc w:val="center"/>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rPr>
              <w:t>备案</w:t>
            </w:r>
            <w:r>
              <w:rPr>
                <w:rFonts w:hint="eastAsia" w:ascii="仿宋_GB2312" w:hAnsi="Times New Roman" w:eastAsia="仿宋_GB2312"/>
                <w:color w:val="000000"/>
                <w:sz w:val="24"/>
                <w:lang w:eastAsia="zh-Hans"/>
              </w:rPr>
              <w:t>类别</w:t>
            </w:r>
          </w:p>
        </w:tc>
        <w:tc>
          <w:tcPr>
            <w:tcW w:w="6004" w:type="dxa"/>
            <w:gridSpan w:val="3"/>
            <w:vAlign w:val="center"/>
          </w:tcPr>
          <w:p>
            <w:pPr>
              <w:autoSpaceDN w:val="0"/>
              <w:jc w:val="center"/>
              <w:textAlignment w:val="bottom"/>
              <w:rPr>
                <w:rFonts w:ascii="仿宋_GB2312" w:hAnsi="Times New Roman" w:eastAsia="仿宋_GB2312"/>
                <w:color w:val="000000"/>
                <w:sz w:val="24"/>
              </w:rPr>
            </w:pPr>
            <w:r>
              <w:rPr>
                <w:rFonts w:hint="eastAsia" w:ascii="仿宋_GB2312" w:hAnsi="Times New Roman" w:eastAsia="仿宋_GB2312"/>
                <w:color w:val="000000"/>
                <w:sz w:val="24"/>
              </w:rPr>
              <w:t>□</w:t>
            </w:r>
            <w:r>
              <w:rPr>
                <w:rFonts w:hint="eastAsia" w:ascii="仿宋_GB2312" w:hAnsi="Times New Roman" w:eastAsia="仿宋_GB2312"/>
                <w:color w:val="000000"/>
                <w:sz w:val="24"/>
                <w:lang w:eastAsia="zh-Hans"/>
              </w:rPr>
              <w:t xml:space="preserve">新增  </w:t>
            </w:r>
            <w:r>
              <w:rPr>
                <w:rFonts w:hint="eastAsia" w:ascii="仿宋_GB2312" w:hAnsi="Times New Roman" w:eastAsia="仿宋_GB2312"/>
                <w:color w:val="000000"/>
                <w:sz w:val="24"/>
              </w:rPr>
              <w:t>□</w:t>
            </w:r>
            <w:r>
              <w:rPr>
                <w:rFonts w:hint="eastAsia" w:ascii="仿宋_GB2312" w:hAnsi="Times New Roman" w:eastAsia="仿宋_GB2312"/>
                <w:color w:val="000000"/>
                <w:sz w:val="24"/>
                <w:lang w:eastAsia="zh-Hans"/>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817" w:type="dxa"/>
            <w:vMerge w:val="continue"/>
            <w:vAlign w:val="center"/>
          </w:tcPr>
          <w:p>
            <w:pPr>
              <w:autoSpaceDN w:val="0"/>
              <w:jc w:val="center"/>
              <w:textAlignment w:val="center"/>
              <w:rPr>
                <w:rFonts w:ascii="仿宋_GB2312" w:hAnsi="Times New Roman" w:eastAsia="仿宋_GB2312"/>
                <w:color w:val="000000"/>
                <w:sz w:val="24"/>
                <w:lang w:eastAsia="zh-Hans"/>
              </w:rPr>
            </w:pPr>
          </w:p>
        </w:tc>
        <w:tc>
          <w:tcPr>
            <w:tcW w:w="1701" w:type="dxa"/>
            <w:vAlign w:val="center"/>
          </w:tcPr>
          <w:p>
            <w:pPr>
              <w:autoSpaceDN w:val="0"/>
              <w:jc w:val="center"/>
              <w:textAlignment w:val="center"/>
              <w:rPr>
                <w:rFonts w:ascii="仿宋_GB2312" w:hAnsi="Times New Roman" w:eastAsia="仿宋_GB2312"/>
                <w:color w:val="000000"/>
                <w:sz w:val="24"/>
              </w:rPr>
            </w:pPr>
            <w:r>
              <w:rPr>
                <w:rFonts w:hint="eastAsia" w:ascii="仿宋_GB2312" w:hAnsi="Times New Roman" w:eastAsia="仿宋_GB2312"/>
                <w:color w:val="000000"/>
                <w:sz w:val="24"/>
              </w:rPr>
              <w:t>人员类别</w:t>
            </w:r>
          </w:p>
        </w:tc>
        <w:tc>
          <w:tcPr>
            <w:tcW w:w="6004" w:type="dxa"/>
            <w:gridSpan w:val="3"/>
            <w:vAlign w:val="center"/>
          </w:tcPr>
          <w:p>
            <w:pPr>
              <w:autoSpaceDN w:val="0"/>
              <w:jc w:val="left"/>
              <w:textAlignment w:val="center"/>
              <w:rPr>
                <w:rFonts w:ascii="仿宋_GB2312" w:hAnsi="Times New Roman" w:eastAsia="仿宋_GB2312"/>
                <w:color w:val="000000"/>
                <w:sz w:val="24"/>
              </w:rPr>
            </w:pPr>
            <w:r>
              <w:rPr>
                <w:rFonts w:hint="eastAsia" w:ascii="仿宋_GB2312" w:hAnsi="Times New Roman" w:eastAsia="仿宋_GB2312"/>
                <w:color w:val="000000"/>
                <w:sz w:val="24"/>
              </w:rPr>
              <w:t>□异地转诊转院（就医）人员 □异地转诊转院（康复）人员</w:t>
            </w:r>
          </w:p>
          <w:p>
            <w:pPr>
              <w:autoSpaceDN w:val="0"/>
              <w:textAlignment w:val="bottom"/>
              <w:rPr>
                <w:rFonts w:ascii="仿宋_GB2312" w:hAnsi="Times New Roman" w:eastAsia="仿宋_GB2312"/>
                <w:color w:val="000000"/>
                <w:sz w:val="24"/>
              </w:rPr>
            </w:pPr>
            <w:r>
              <w:rPr>
                <w:rFonts w:hint="eastAsia" w:ascii="仿宋_GB2312" w:hAnsi="Times New Roman" w:eastAsia="仿宋_GB2312"/>
                <w:color w:val="000000"/>
                <w:sz w:val="24"/>
              </w:rPr>
              <w:t>□异地长期居住</w:t>
            </w:r>
            <w:r>
              <w:rPr>
                <w:rFonts w:hint="eastAsia" w:ascii="仿宋_GB2312" w:hAnsi="Times New Roman" w:eastAsia="仿宋_GB2312"/>
                <w:color w:val="000000"/>
                <w:sz w:val="24"/>
                <w:lang w:eastAsia="zh-Hans"/>
              </w:rPr>
              <w:t>（就医）</w:t>
            </w:r>
            <w:r>
              <w:rPr>
                <w:rFonts w:hint="eastAsia" w:ascii="仿宋_GB2312" w:hAnsi="Times New Roman" w:eastAsia="仿宋_GB2312"/>
                <w:color w:val="000000"/>
                <w:sz w:val="24"/>
              </w:rPr>
              <w:t>人员 □异地长期居住</w:t>
            </w:r>
            <w:r>
              <w:rPr>
                <w:rFonts w:hint="eastAsia" w:ascii="仿宋_GB2312" w:hAnsi="Times New Roman" w:eastAsia="仿宋_GB2312"/>
                <w:color w:val="000000"/>
                <w:sz w:val="24"/>
                <w:lang w:eastAsia="zh-Hans"/>
              </w:rPr>
              <w:t>（康复）</w:t>
            </w:r>
            <w:r>
              <w:rPr>
                <w:rFonts w:hint="eastAsia" w:ascii="仿宋_GB2312" w:hAnsi="Times New Roman" w:eastAsia="仿宋_GB2312"/>
                <w:color w:val="000000"/>
                <w:sz w:val="24"/>
              </w:rPr>
              <w:t xml:space="preserve">人员         </w:t>
            </w:r>
          </w:p>
          <w:p>
            <w:pPr>
              <w:autoSpaceDN w:val="0"/>
              <w:textAlignment w:val="bottom"/>
              <w:rPr>
                <w:rFonts w:ascii="仿宋_GB2312" w:hAnsi="Times New Roman" w:eastAsia="仿宋_GB2312"/>
                <w:color w:val="000000"/>
                <w:sz w:val="24"/>
              </w:rPr>
            </w:pPr>
            <w:r>
              <w:rPr>
                <w:rFonts w:hint="eastAsia" w:ascii="仿宋_GB2312" w:hAnsi="Times New Roman" w:eastAsia="仿宋_GB2312"/>
                <w:color w:val="000000"/>
                <w:sz w:val="24"/>
              </w:rPr>
              <w:t>□常驻异地工作</w:t>
            </w:r>
            <w:r>
              <w:rPr>
                <w:rFonts w:hint="eastAsia" w:ascii="仿宋_GB2312" w:hAnsi="Times New Roman" w:eastAsia="仿宋_GB2312"/>
                <w:color w:val="000000"/>
                <w:sz w:val="24"/>
                <w:lang w:eastAsia="zh-Hans"/>
              </w:rPr>
              <w:t>（就医）</w:t>
            </w:r>
            <w:r>
              <w:rPr>
                <w:rFonts w:hint="eastAsia" w:ascii="仿宋_GB2312" w:hAnsi="Times New Roman" w:eastAsia="仿宋_GB2312"/>
                <w:color w:val="000000"/>
                <w:sz w:val="24"/>
              </w:rPr>
              <w:t>人员 □常驻异地工作</w:t>
            </w:r>
            <w:r>
              <w:rPr>
                <w:rFonts w:hint="eastAsia" w:ascii="仿宋_GB2312" w:hAnsi="Times New Roman" w:eastAsia="仿宋_GB2312"/>
                <w:color w:val="000000"/>
                <w:sz w:val="24"/>
                <w:lang w:eastAsia="zh-Hans"/>
              </w:rPr>
              <w:t>（康复）</w:t>
            </w:r>
            <w:r>
              <w:rPr>
                <w:rFonts w:hint="eastAsia" w:ascii="仿宋_GB2312" w:hAnsi="Times New Roman" w:eastAsia="仿宋_GB2312"/>
                <w:color w:val="000000"/>
                <w:sz w:val="24"/>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7" w:type="dxa"/>
            <w:vMerge w:val="restart"/>
            <w:vAlign w:val="center"/>
          </w:tcPr>
          <w:p>
            <w:pPr>
              <w:autoSpaceDN w:val="0"/>
              <w:jc w:val="center"/>
              <w:textAlignment w:val="center"/>
              <w:rPr>
                <w:rFonts w:ascii="仿宋_GB2312" w:hAnsi="Times New Roman" w:eastAsia="仿宋_GB2312"/>
                <w:color w:val="000000"/>
                <w:sz w:val="24"/>
              </w:rPr>
            </w:pPr>
            <w:r>
              <w:rPr>
                <w:rFonts w:hint="eastAsia" w:ascii="仿宋_GB2312" w:hAnsi="Times New Roman" w:eastAsia="仿宋_GB2312"/>
                <w:color w:val="000000"/>
                <w:sz w:val="24"/>
                <w:lang w:eastAsia="zh-Hans"/>
              </w:rPr>
              <w:t>申请人基本</w:t>
            </w:r>
            <w:r>
              <w:rPr>
                <w:rFonts w:hint="eastAsia" w:ascii="仿宋_GB2312" w:hAnsi="Times New Roman" w:eastAsia="仿宋_GB2312"/>
                <w:color w:val="000000"/>
                <w:sz w:val="24"/>
              </w:rPr>
              <w:t>信息</w:t>
            </w:r>
          </w:p>
        </w:tc>
        <w:tc>
          <w:tcPr>
            <w:tcW w:w="3973" w:type="dxa"/>
            <w:gridSpan w:val="2"/>
            <w:vAlign w:val="center"/>
          </w:tcPr>
          <w:p>
            <w:pPr>
              <w:autoSpaceDN w:val="0"/>
              <w:jc w:val="left"/>
              <w:textAlignment w:val="center"/>
              <w:rPr>
                <w:rFonts w:ascii="仿宋_GB2312" w:hAnsi="Times New Roman" w:eastAsia="仿宋_GB2312"/>
                <w:color w:val="000000"/>
                <w:sz w:val="24"/>
              </w:rPr>
            </w:pPr>
            <w:r>
              <w:rPr>
                <w:rFonts w:hint="eastAsia" w:ascii="仿宋_GB2312" w:hAnsi="Times New Roman" w:eastAsia="仿宋_GB2312"/>
                <w:color w:val="000000"/>
                <w:sz w:val="24"/>
              </w:rPr>
              <w:t>□</w:t>
            </w:r>
            <w:r>
              <w:rPr>
                <w:rFonts w:hint="eastAsia" w:ascii="仿宋_GB2312" w:hAnsi="Times New Roman" w:eastAsia="仿宋_GB2312"/>
                <w:color w:val="000000"/>
                <w:sz w:val="24"/>
                <w:lang w:eastAsia="zh-Hans"/>
              </w:rPr>
              <w:t xml:space="preserve">本人  </w:t>
            </w:r>
            <w:r>
              <w:rPr>
                <w:rFonts w:hint="eastAsia" w:ascii="仿宋_GB2312" w:hAnsi="Times New Roman" w:eastAsia="仿宋_GB2312"/>
                <w:color w:val="000000"/>
                <w:sz w:val="24"/>
              </w:rPr>
              <w:t>□</w:t>
            </w:r>
            <w:r>
              <w:rPr>
                <w:rFonts w:hint="eastAsia" w:ascii="仿宋_GB2312" w:hAnsi="Times New Roman" w:eastAsia="仿宋_GB2312"/>
                <w:color w:val="000000"/>
                <w:sz w:val="24"/>
                <w:lang w:eastAsia="zh-Hans"/>
              </w:rPr>
              <w:t xml:space="preserve">工伤职工近亲属  </w:t>
            </w:r>
          </w:p>
        </w:tc>
        <w:tc>
          <w:tcPr>
            <w:tcW w:w="1566" w:type="dxa"/>
            <w:vAlign w:val="center"/>
          </w:tcPr>
          <w:p>
            <w:pPr>
              <w:autoSpaceDN w:val="0"/>
              <w:jc w:val="center"/>
              <w:textAlignment w:val="center"/>
              <w:rPr>
                <w:rFonts w:ascii="仿宋_GB2312" w:hAnsi="Times New Roman" w:eastAsia="仿宋_GB2312"/>
                <w:color w:val="000000"/>
                <w:sz w:val="24"/>
              </w:rPr>
            </w:pPr>
            <w:r>
              <w:rPr>
                <w:rFonts w:hint="eastAsia" w:ascii="仿宋_GB2312" w:hAnsi="Times New Roman" w:eastAsia="仿宋_GB2312"/>
                <w:color w:val="000000"/>
                <w:sz w:val="24"/>
              </w:rPr>
              <w:t>近亲属姓名</w:t>
            </w:r>
          </w:p>
        </w:tc>
        <w:tc>
          <w:tcPr>
            <w:tcW w:w="2166" w:type="dxa"/>
            <w:vAlign w:val="center"/>
          </w:tcPr>
          <w:p>
            <w:pPr>
              <w:autoSpaceDN w:val="0"/>
              <w:jc w:val="left"/>
              <w:textAlignment w:val="center"/>
              <w:rPr>
                <w:rFonts w:ascii="仿宋_GB2312"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17" w:type="dxa"/>
            <w:vMerge w:val="continue"/>
            <w:vAlign w:val="center"/>
          </w:tcPr>
          <w:p>
            <w:pPr>
              <w:rPr>
                <w:rFonts w:ascii="仿宋_GB2312" w:hAnsi="Times New Roman" w:eastAsia="仿宋_GB2312"/>
                <w:color w:val="000000"/>
                <w:sz w:val="24"/>
              </w:rPr>
            </w:pPr>
          </w:p>
        </w:tc>
        <w:tc>
          <w:tcPr>
            <w:tcW w:w="1701" w:type="dxa"/>
            <w:vAlign w:val="center"/>
          </w:tcPr>
          <w:p>
            <w:pPr>
              <w:autoSpaceDN w:val="0"/>
              <w:jc w:val="center"/>
              <w:textAlignment w:val="center"/>
              <w:rPr>
                <w:rFonts w:ascii="仿宋_GB2312" w:hAnsi="Times New Roman" w:eastAsia="仿宋_GB2312"/>
                <w:color w:val="000000"/>
                <w:sz w:val="24"/>
              </w:rPr>
            </w:pPr>
            <w:r>
              <w:rPr>
                <w:rFonts w:hint="eastAsia" w:ascii="仿宋_GB2312" w:hAnsi="Times New Roman" w:eastAsia="仿宋_GB2312"/>
                <w:color w:val="000000"/>
                <w:sz w:val="24"/>
                <w:lang w:eastAsia="zh-Hans"/>
              </w:rPr>
              <w:t>近亲属</w:t>
            </w:r>
            <w:r>
              <w:rPr>
                <w:rFonts w:hint="eastAsia" w:ascii="仿宋_GB2312" w:hAnsi="Times New Roman" w:eastAsia="仿宋_GB2312"/>
                <w:color w:val="000000"/>
                <w:sz w:val="24"/>
              </w:rPr>
              <w:t>公民身份号码</w:t>
            </w:r>
          </w:p>
        </w:tc>
        <w:tc>
          <w:tcPr>
            <w:tcW w:w="2272" w:type="dxa"/>
            <w:vAlign w:val="bottom"/>
          </w:tcPr>
          <w:p>
            <w:pPr>
              <w:autoSpaceDN w:val="0"/>
              <w:jc w:val="center"/>
              <w:textAlignment w:val="center"/>
              <w:rPr>
                <w:rFonts w:ascii="仿宋_GB2312" w:hAnsi="Times New Roman" w:eastAsia="仿宋_GB2312"/>
                <w:color w:val="000000"/>
                <w:sz w:val="24"/>
              </w:rPr>
            </w:pPr>
          </w:p>
        </w:tc>
        <w:tc>
          <w:tcPr>
            <w:tcW w:w="1566" w:type="dxa"/>
            <w:vAlign w:val="center"/>
          </w:tcPr>
          <w:p>
            <w:pPr>
              <w:autoSpaceDN w:val="0"/>
              <w:jc w:val="center"/>
              <w:textAlignment w:val="center"/>
              <w:rPr>
                <w:rFonts w:ascii="仿宋_GB2312" w:hAnsi="Times New Roman" w:eastAsia="仿宋_GB2312"/>
                <w:color w:val="000000"/>
                <w:sz w:val="24"/>
              </w:rPr>
            </w:pPr>
            <w:r>
              <w:rPr>
                <w:rFonts w:hint="eastAsia" w:ascii="仿宋_GB2312" w:hAnsi="Times New Roman" w:eastAsia="仿宋_GB2312"/>
                <w:color w:val="000000"/>
                <w:sz w:val="24"/>
                <w:lang w:eastAsia="zh-Hans"/>
              </w:rPr>
              <w:t>联系方式</w:t>
            </w:r>
          </w:p>
        </w:tc>
        <w:tc>
          <w:tcPr>
            <w:tcW w:w="2166" w:type="dxa"/>
            <w:vAlign w:val="bottom"/>
          </w:tcPr>
          <w:p>
            <w:pPr>
              <w:autoSpaceDN w:val="0"/>
              <w:jc w:val="center"/>
              <w:textAlignment w:val="center"/>
              <w:rPr>
                <w:rFonts w:ascii="仿宋_GB2312" w:hAnsi="Times New Roman"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6" w:hRule="atLeast"/>
          <w:jc w:val="center"/>
        </w:trPr>
        <w:tc>
          <w:tcPr>
            <w:tcW w:w="817" w:type="dxa"/>
            <w:vMerge w:val="continue"/>
            <w:vAlign w:val="center"/>
          </w:tcPr>
          <w:p>
            <w:pPr>
              <w:rPr>
                <w:rFonts w:ascii="仿宋_GB2312" w:hAnsi="Times New Roman" w:eastAsia="仿宋_GB2312"/>
                <w:color w:val="000000"/>
                <w:sz w:val="24"/>
              </w:rPr>
            </w:pPr>
          </w:p>
        </w:tc>
        <w:tc>
          <w:tcPr>
            <w:tcW w:w="7705" w:type="dxa"/>
            <w:gridSpan w:val="4"/>
            <w:vAlign w:val="center"/>
          </w:tcPr>
          <w:p>
            <w:pPr>
              <w:autoSpaceDN w:val="0"/>
              <w:jc w:val="left"/>
              <w:textAlignment w:val="center"/>
              <w:rPr>
                <w:rFonts w:ascii="仿宋_GB2312" w:hAnsi="Times New Roman" w:eastAsia="仿宋_GB2312"/>
                <w:color w:val="000000"/>
                <w:sz w:val="24"/>
              </w:rPr>
            </w:pPr>
          </w:p>
          <w:p>
            <w:pPr>
              <w:autoSpaceDN w:val="0"/>
              <w:ind w:right="1260" w:rightChars="600"/>
              <w:jc w:val="right"/>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lang w:eastAsia="zh-Hans"/>
              </w:rPr>
              <w:t>申请人：</w:t>
            </w:r>
          </w:p>
          <w:p>
            <w:pPr>
              <w:autoSpaceDN w:val="0"/>
              <w:ind w:right="1260" w:rightChars="600"/>
              <w:jc w:val="center"/>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rPr>
              <w:t xml:space="preserve">                                      </w:t>
            </w:r>
            <w:r>
              <w:rPr>
                <w:rFonts w:hint="eastAsia" w:ascii="仿宋_GB2312" w:hAnsi="Times New Roman" w:eastAsia="仿宋_GB2312"/>
                <w:color w:val="000000"/>
                <w:sz w:val="24"/>
                <w:lang w:eastAsia="zh-Hans"/>
              </w:rPr>
              <w:t>（指印）</w:t>
            </w:r>
          </w:p>
          <w:p>
            <w:pPr>
              <w:autoSpaceDN w:val="0"/>
              <w:ind w:right="1050" w:rightChars="500"/>
              <w:jc w:val="right"/>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lang w:eastAsia="zh-Han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1" w:hRule="atLeast"/>
          <w:jc w:val="center"/>
        </w:trPr>
        <w:tc>
          <w:tcPr>
            <w:tcW w:w="817" w:type="dxa"/>
            <w:vAlign w:val="center"/>
          </w:tcPr>
          <w:p>
            <w:pPr>
              <w:autoSpaceDN w:val="0"/>
              <w:jc w:val="center"/>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lang w:eastAsia="zh-Hans"/>
              </w:rPr>
              <w:t>就医地</w:t>
            </w:r>
          </w:p>
        </w:tc>
        <w:tc>
          <w:tcPr>
            <w:tcW w:w="7705" w:type="dxa"/>
            <w:gridSpan w:val="4"/>
            <w:vAlign w:val="center"/>
          </w:tcPr>
          <w:p>
            <w:pPr>
              <w:autoSpaceDN w:val="0"/>
              <w:jc w:val="left"/>
              <w:textAlignment w:val="center"/>
              <w:rPr>
                <w:rFonts w:ascii="仿宋_GB2312" w:hAnsi="Times New Roman" w:eastAsia="仿宋_GB2312"/>
                <w:color w:val="000000"/>
                <w:sz w:val="24"/>
              </w:rPr>
            </w:pP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省（自治区、直辖市）</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2" w:hRule="atLeast"/>
          <w:jc w:val="center"/>
        </w:trPr>
        <w:tc>
          <w:tcPr>
            <w:tcW w:w="817" w:type="dxa"/>
            <w:vAlign w:val="center"/>
          </w:tcPr>
          <w:p>
            <w:pPr>
              <w:autoSpaceDN w:val="0"/>
              <w:jc w:val="center"/>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lang w:eastAsia="zh-Hans"/>
              </w:rPr>
              <w:t>参保地经办机构意见</w:t>
            </w:r>
          </w:p>
        </w:tc>
        <w:tc>
          <w:tcPr>
            <w:tcW w:w="7705" w:type="dxa"/>
            <w:gridSpan w:val="4"/>
            <w:vAlign w:val="center"/>
          </w:tcPr>
          <w:p>
            <w:pPr>
              <w:autoSpaceDN w:val="0"/>
              <w:jc w:val="center"/>
              <w:textAlignment w:val="center"/>
              <w:rPr>
                <w:rFonts w:ascii="仿宋_GB2312" w:hAnsi="Times New Roman" w:eastAsia="仿宋_GB2312"/>
                <w:color w:val="000000"/>
                <w:sz w:val="24"/>
              </w:rPr>
            </w:pPr>
          </w:p>
          <w:p>
            <w:pPr>
              <w:autoSpaceDN w:val="0"/>
              <w:jc w:val="left"/>
              <w:textAlignment w:val="center"/>
              <w:rPr>
                <w:rFonts w:ascii="仿宋_GB2312" w:hAnsi="Times New Roman" w:eastAsia="仿宋_GB2312"/>
                <w:color w:val="000000"/>
                <w:sz w:val="24"/>
              </w:rPr>
            </w:pPr>
            <w:r>
              <w:rPr>
                <w:rFonts w:hint="eastAsia" w:ascii="仿宋_GB2312" w:hAnsi="Times New Roman" w:eastAsia="仿宋_GB2312"/>
                <w:color w:val="000000"/>
                <w:sz w:val="24"/>
              </w:rPr>
              <w:t>□</w:t>
            </w:r>
            <w:r>
              <w:rPr>
                <w:rFonts w:hint="eastAsia" w:ascii="仿宋_GB2312" w:hAnsi="Times New Roman" w:eastAsia="仿宋_GB2312"/>
                <w:color w:val="000000"/>
                <w:sz w:val="24"/>
                <w:lang w:eastAsia="zh-Hans"/>
              </w:rPr>
              <w:t xml:space="preserve">同意  </w:t>
            </w:r>
            <w:r>
              <w:rPr>
                <w:rFonts w:hint="eastAsia" w:ascii="仿宋_GB2312" w:hAnsi="Times New Roman" w:eastAsia="仿宋_GB2312"/>
                <w:color w:val="000000"/>
                <w:sz w:val="24"/>
              </w:rPr>
              <w:t>□</w:t>
            </w:r>
            <w:r>
              <w:rPr>
                <w:rFonts w:hint="eastAsia" w:ascii="仿宋_GB2312" w:hAnsi="Times New Roman" w:eastAsia="仿宋_GB2312"/>
                <w:color w:val="000000"/>
                <w:sz w:val="24"/>
                <w:lang w:eastAsia="zh-Hans"/>
              </w:rPr>
              <w:t>不同意</w:t>
            </w:r>
            <w:r>
              <w:rPr>
                <w:rFonts w:hint="eastAsia" w:ascii="仿宋_GB2312" w:hAnsi="Times New Roman" w:eastAsia="仿宋_GB2312"/>
                <w:color w:val="000000"/>
                <w:sz w:val="24"/>
                <w:u w:val="single"/>
                <w:lang w:eastAsia="zh-Hans"/>
              </w:rPr>
              <w:t xml:space="preserve">         </w:t>
            </w:r>
            <w:r>
              <w:rPr>
                <w:rFonts w:hint="eastAsia" w:ascii="仿宋_GB2312" w:hAnsi="Times New Roman" w:eastAsia="仿宋_GB2312"/>
                <w:color w:val="000000"/>
                <w:sz w:val="24"/>
                <w:lang w:eastAsia="zh-Hans"/>
              </w:rPr>
              <w:t>（理由）</w:t>
            </w:r>
          </w:p>
          <w:p>
            <w:pPr>
              <w:jc w:val="left"/>
              <w:rPr>
                <w:rFonts w:ascii="仿宋_GB2312" w:hAnsi="Times New Roman" w:eastAsia="仿宋_GB2312"/>
                <w:color w:val="000000"/>
                <w:sz w:val="24"/>
              </w:rPr>
            </w:pPr>
          </w:p>
          <w:p>
            <w:pPr>
              <w:jc w:val="left"/>
              <w:rPr>
                <w:rFonts w:ascii="仿宋_GB2312" w:hAnsi="Times New Roman" w:eastAsia="仿宋_GB2312"/>
                <w:color w:val="000000"/>
                <w:sz w:val="24"/>
              </w:rPr>
            </w:pPr>
            <w:r>
              <w:rPr>
                <w:rFonts w:hint="eastAsia" w:ascii="仿宋_GB2312" w:hAnsi="Times New Roman" w:eastAsia="仿宋_GB2312"/>
                <w:color w:val="000000"/>
                <w:sz w:val="24"/>
              </w:rPr>
              <w:t>备案有效期：</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年</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月</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日至</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年</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月</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日</w:t>
            </w:r>
          </w:p>
          <w:p>
            <w:pPr>
              <w:autoSpaceDN w:val="0"/>
              <w:ind w:right="1260" w:rightChars="600"/>
              <w:jc w:val="right"/>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lang w:eastAsia="zh-Hans"/>
              </w:rPr>
              <w:t>经办机构</w:t>
            </w:r>
          </w:p>
          <w:p>
            <w:pPr>
              <w:autoSpaceDN w:val="0"/>
              <w:ind w:right="1260" w:rightChars="600"/>
              <w:jc w:val="right"/>
              <w:textAlignment w:val="center"/>
              <w:rPr>
                <w:rFonts w:ascii="仿宋_GB2312" w:hAnsi="Times New Roman" w:eastAsia="仿宋_GB2312"/>
                <w:color w:val="000000"/>
                <w:sz w:val="24"/>
                <w:lang w:eastAsia="zh-Hans"/>
              </w:rPr>
            </w:pPr>
            <w:r>
              <w:rPr>
                <w:rFonts w:hint="eastAsia" w:ascii="仿宋_GB2312" w:hAnsi="Times New Roman" w:eastAsia="仿宋_GB2312"/>
                <w:color w:val="000000"/>
                <w:sz w:val="24"/>
                <w:lang w:eastAsia="zh-Hans"/>
              </w:rPr>
              <w:t>（章）</w:t>
            </w:r>
          </w:p>
          <w:p>
            <w:pPr>
              <w:jc w:val="center"/>
              <w:rPr>
                <w:rFonts w:ascii="仿宋_GB2312" w:hAnsi="Times New Roman" w:eastAsia="仿宋_GB2312"/>
                <w:color w:val="000000"/>
                <w:sz w:val="24"/>
              </w:rPr>
            </w:pPr>
            <w:r>
              <w:rPr>
                <w:rFonts w:hint="eastAsia" w:ascii="仿宋_GB2312" w:hAnsi="Times New Roman" w:eastAsia="仿宋_GB2312"/>
                <w:color w:val="000000"/>
                <w:sz w:val="24"/>
                <w:lang w:eastAsia="zh-Hans"/>
              </w:rPr>
              <w:t xml:space="preserve">        经办人：                      年  月  日</w:t>
            </w:r>
          </w:p>
        </w:tc>
      </w:tr>
    </w:tbl>
    <w:p>
      <w:pPr>
        <w:widowControl/>
        <w:spacing w:after="40" w:line="240" w:lineRule="exact"/>
        <w:ind w:left="11" w:hanging="11"/>
        <w:jc w:val="left"/>
        <w:rPr>
          <w:rFonts w:ascii="仿宋_GB2312" w:hAnsi="Times New Roman" w:eastAsia="仿宋_GB2312"/>
          <w:color w:val="000000"/>
          <w:sz w:val="22"/>
        </w:rPr>
      </w:pPr>
      <w:r>
        <w:rPr>
          <w:rFonts w:hint="eastAsia" w:ascii="仿宋_GB2312" w:hAnsi="Times New Roman" w:eastAsia="仿宋_GB2312"/>
          <w:color w:val="000000"/>
          <w:sz w:val="22"/>
        </w:rPr>
        <w:t>备注：1.本表一式二份，经办机构留存一份，</w:t>
      </w:r>
      <w:r>
        <w:rPr>
          <w:rFonts w:hint="eastAsia" w:ascii="仿宋_GB2312" w:hAnsi="Times New Roman" w:eastAsia="仿宋_GB2312"/>
          <w:color w:val="000000"/>
          <w:sz w:val="22"/>
          <w:lang w:eastAsia="zh-Hans"/>
        </w:rPr>
        <w:t>申请人</w:t>
      </w:r>
      <w:r>
        <w:rPr>
          <w:rFonts w:hint="eastAsia" w:ascii="仿宋_GB2312" w:hAnsi="Times New Roman" w:eastAsia="仿宋_GB2312"/>
          <w:color w:val="000000"/>
          <w:sz w:val="22"/>
        </w:rPr>
        <w:t>留存一份；</w:t>
      </w:r>
    </w:p>
    <w:p>
      <w:pPr>
        <w:widowControl/>
        <w:spacing w:after="40" w:line="240" w:lineRule="exact"/>
        <w:ind w:left="631" w:firstLine="9"/>
        <w:jc w:val="left"/>
        <w:rPr>
          <w:rFonts w:ascii="仿宋_GB2312" w:hAnsi="Times New Roman" w:eastAsia="仿宋_GB2312"/>
          <w:color w:val="000000"/>
          <w:sz w:val="22"/>
        </w:rPr>
      </w:pPr>
      <w:r>
        <w:rPr>
          <w:rFonts w:hint="eastAsia" w:ascii="仿宋_GB2312" w:hAnsi="Times New Roman" w:eastAsia="仿宋_GB2312"/>
          <w:color w:val="000000"/>
          <w:sz w:val="22"/>
        </w:rPr>
        <w:t>2.本表供工伤职工</w:t>
      </w:r>
      <w:r>
        <w:rPr>
          <w:rFonts w:hint="eastAsia" w:ascii="仿宋_GB2312" w:hAnsi="Times New Roman" w:eastAsia="仿宋_GB2312"/>
          <w:color w:val="000000"/>
          <w:sz w:val="22"/>
          <w:lang w:eastAsia="zh-Hans"/>
        </w:rPr>
        <w:t>及其近亲属</w:t>
      </w:r>
      <w:r>
        <w:rPr>
          <w:rFonts w:hint="eastAsia" w:ascii="仿宋_GB2312" w:hAnsi="Times New Roman" w:eastAsia="仿宋_GB2312"/>
          <w:color w:val="000000"/>
          <w:sz w:val="22"/>
        </w:rPr>
        <w:t>申请备案使用，工伤职工近亲属申请的，另须提供其有效身份证件和与工伤职工</w:t>
      </w:r>
      <w:r>
        <w:rPr>
          <w:rFonts w:hint="eastAsia" w:ascii="仿宋_GB2312" w:hAnsi="Times New Roman" w:eastAsia="仿宋_GB2312"/>
          <w:color w:val="000000"/>
          <w:sz w:val="22"/>
          <w:lang w:eastAsia="zh-Hans"/>
        </w:rPr>
        <w:t>的</w:t>
      </w:r>
      <w:r>
        <w:rPr>
          <w:rFonts w:hint="eastAsia" w:ascii="仿宋_GB2312" w:hAnsi="Times New Roman" w:eastAsia="仿宋_GB2312"/>
          <w:color w:val="000000"/>
          <w:sz w:val="22"/>
        </w:rPr>
        <w:t>关系佐证材料，工伤职工委托他人申请的，另须提供授权委托书；</w:t>
      </w:r>
    </w:p>
    <w:p>
      <w:pPr>
        <w:widowControl/>
        <w:spacing w:after="40" w:line="240" w:lineRule="exact"/>
        <w:ind w:left="631" w:firstLine="9"/>
        <w:jc w:val="left"/>
        <w:rPr>
          <w:rFonts w:ascii="仿宋_GB2312" w:hAnsi="Times New Roman" w:eastAsia="仿宋_GB2312"/>
          <w:color w:val="000000"/>
          <w:sz w:val="22"/>
        </w:rPr>
      </w:pPr>
      <w:r>
        <w:rPr>
          <w:rFonts w:hint="eastAsia" w:ascii="仿宋_GB2312" w:hAnsi="Times New Roman" w:eastAsia="仿宋_GB2312"/>
          <w:color w:val="000000"/>
          <w:sz w:val="22"/>
        </w:rPr>
        <w:t>3.转诊转院工伤职工另须提供参保地协议机构转诊转院意见；</w:t>
      </w:r>
    </w:p>
    <w:p>
      <w:pPr>
        <w:widowControl/>
        <w:spacing w:after="40" w:line="240" w:lineRule="exact"/>
        <w:ind w:left="631" w:firstLine="9"/>
        <w:jc w:val="left"/>
        <w:rPr>
          <w:rFonts w:ascii="仿宋_GB2312" w:hAnsi="Times New Roman" w:eastAsia="仿宋_GB2312"/>
          <w:color w:val="000000"/>
          <w:sz w:val="22"/>
        </w:rPr>
      </w:pPr>
      <w:r>
        <w:rPr>
          <w:rFonts w:hint="eastAsia" w:ascii="仿宋_GB2312" w:hAnsi="Times New Roman" w:eastAsia="仿宋_GB2312"/>
          <w:color w:val="000000"/>
          <w:sz w:val="22"/>
        </w:rPr>
        <w:t>4.异地长期居住工伤职工，居住地为户籍所在地的另须提供户籍相关材料、居住地为非户籍所在地的须提供居住证、村（居）委会证明等长期居住佐证材料；</w:t>
      </w:r>
    </w:p>
    <w:p>
      <w:pPr>
        <w:widowControl/>
        <w:spacing w:after="40" w:line="240" w:lineRule="exact"/>
        <w:ind w:left="631" w:firstLine="9"/>
        <w:jc w:val="left"/>
        <w:rPr>
          <w:rFonts w:ascii="仿宋_GB2312" w:hAnsi="Times New Roman" w:eastAsia="仿宋_GB2312"/>
          <w:color w:val="000000"/>
          <w:sz w:val="22"/>
        </w:rPr>
      </w:pPr>
      <w:r>
        <w:rPr>
          <w:rFonts w:hint="eastAsia" w:ascii="仿宋_GB2312" w:hAnsi="Times New Roman" w:eastAsia="仿宋_GB2312"/>
          <w:color w:val="000000"/>
          <w:sz w:val="22"/>
        </w:rPr>
        <w:t>5.常驻异地工作工伤职工，另须提供常驻异地工作的佐证材料（参保地工作单位派出证明、异地工作单位证明、劳动合同等）。</w:t>
      </w: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附件6</w:t>
      </w: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宁夏回族自治区旧伤复发就医确认表</w:t>
      </w:r>
    </w:p>
    <w:p>
      <w:pPr>
        <w:spacing w:line="560" w:lineRule="exact"/>
        <w:jc w:val="left"/>
        <w:rPr>
          <w:rFonts w:ascii="仿宋_GB2312" w:hAnsi="宋体" w:eastAsia="仿宋_GB2312"/>
          <w:color w:val="000000"/>
          <w:kern w:val="0"/>
          <w:sz w:val="24"/>
        </w:rPr>
      </w:pPr>
      <w:r>
        <w:rPr>
          <w:rFonts w:hint="eastAsia" w:ascii="仿宋_GB2312" w:hAnsi="宋体" w:eastAsia="仿宋_GB2312"/>
          <w:color w:val="000000"/>
          <w:kern w:val="0"/>
          <w:sz w:val="24"/>
        </w:rPr>
        <w:t>单位名称：</w:t>
      </w:r>
    </w:p>
    <w:tbl>
      <w:tblPr>
        <w:tblStyle w:val="24"/>
        <w:tblW w:w="8522" w:type="dxa"/>
        <w:jc w:val="center"/>
        <w:tblInd w:w="0" w:type="dxa"/>
        <w:tblLayout w:type="fixed"/>
        <w:tblCellMar>
          <w:top w:w="0" w:type="dxa"/>
          <w:left w:w="108" w:type="dxa"/>
          <w:bottom w:w="0" w:type="dxa"/>
          <w:right w:w="108" w:type="dxa"/>
        </w:tblCellMar>
      </w:tblPr>
      <w:tblGrid>
        <w:gridCol w:w="2376"/>
        <w:gridCol w:w="940"/>
        <w:gridCol w:w="696"/>
        <w:gridCol w:w="553"/>
        <w:gridCol w:w="513"/>
        <w:gridCol w:w="1143"/>
        <w:gridCol w:w="2301"/>
      </w:tblGrid>
      <w:tr>
        <w:tblPrEx>
          <w:tblLayout w:type="fixed"/>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姓名</w:t>
            </w:r>
          </w:p>
        </w:tc>
        <w:tc>
          <w:tcPr>
            <w:tcW w:w="940"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696"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性别　</w:t>
            </w:r>
          </w:p>
        </w:tc>
        <w:tc>
          <w:tcPr>
            <w:tcW w:w="553"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p>
        </w:tc>
        <w:tc>
          <w:tcPr>
            <w:tcW w:w="1656"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出生日期</w:t>
            </w:r>
          </w:p>
        </w:tc>
        <w:tc>
          <w:tcPr>
            <w:tcW w:w="2301" w:type="dxa"/>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624" w:hRule="atLeast"/>
          <w:jc w:val="center"/>
        </w:trPr>
        <w:tc>
          <w:tcPr>
            <w:tcW w:w="237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身份证号码</w:t>
            </w:r>
          </w:p>
        </w:tc>
        <w:tc>
          <w:tcPr>
            <w:tcW w:w="2189"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6" w:type="dxa"/>
            <w:gridSpan w:val="2"/>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2301"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624" w:hRule="atLeast"/>
          <w:jc w:val="center"/>
        </w:trPr>
        <w:tc>
          <w:tcPr>
            <w:tcW w:w="2376" w:type="dxa"/>
            <w:tcBorders>
              <w:top w:val="nil"/>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工伤时间</w:t>
            </w:r>
          </w:p>
        </w:tc>
        <w:tc>
          <w:tcPr>
            <w:tcW w:w="2189"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6" w:type="dxa"/>
            <w:gridSpan w:val="2"/>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工伤认定时间</w:t>
            </w:r>
          </w:p>
        </w:tc>
        <w:tc>
          <w:tcPr>
            <w:tcW w:w="2301" w:type="dxa"/>
            <w:tcBorders>
              <w:top w:val="nil"/>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工伤认定编号</w:t>
            </w:r>
          </w:p>
        </w:tc>
        <w:tc>
          <w:tcPr>
            <w:tcW w:w="2189" w:type="dxa"/>
            <w:gridSpan w:val="3"/>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56" w:type="dxa"/>
            <w:gridSpan w:val="2"/>
            <w:tcBorders>
              <w:top w:val="single" w:color="auto" w:sz="4" w:space="0"/>
              <w:left w:val="nil"/>
              <w:bottom w:val="single" w:color="auto"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工伤职工类别</w:t>
            </w:r>
          </w:p>
        </w:tc>
        <w:tc>
          <w:tcPr>
            <w:tcW w:w="2301" w:type="dxa"/>
            <w:tcBorders>
              <w:top w:val="single" w:color="auto" w:sz="4" w:space="0"/>
              <w:left w:val="nil"/>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s="宋体"/>
                <w:color w:val="000000"/>
                <w:kern w:val="0"/>
                <w:sz w:val="24"/>
              </w:rPr>
            </w:pPr>
            <w:r>
              <w:rPr>
                <w:rFonts w:hint="eastAsia" w:ascii="仿宋_GB2312" w:hAnsi="宋体" w:eastAsia="仿宋_GB2312"/>
                <w:color w:val="000000"/>
                <w:kern w:val="0"/>
                <w:sz w:val="24"/>
                <w:lang w:bidi="ar"/>
              </w:rPr>
              <w:t>伤害部位及伤残等级</w:t>
            </w:r>
          </w:p>
        </w:tc>
        <w:tc>
          <w:tcPr>
            <w:tcW w:w="6146" w:type="dxa"/>
            <w:gridSpan w:val="6"/>
            <w:tcBorders>
              <w:top w:val="single" w:color="auto" w:sz="4" w:space="0"/>
              <w:left w:val="nil"/>
              <w:bottom w:val="single" w:color="000000"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624" w:hRule="atLeast"/>
          <w:jc w:val="center"/>
        </w:trPr>
        <w:tc>
          <w:tcPr>
            <w:tcW w:w="2376" w:type="dxa"/>
            <w:tcBorders>
              <w:top w:val="single" w:color="auto" w:sz="4" w:space="0"/>
              <w:left w:val="single" w:color="auto" w:sz="4" w:space="0"/>
              <w:bottom w:val="single" w:color="000000" w:sz="4" w:space="0"/>
              <w:right w:val="single" w:color="auto" w:sz="4" w:space="0"/>
            </w:tcBorders>
            <w:vAlign w:val="center"/>
          </w:tcPr>
          <w:p>
            <w:pPr>
              <w:widowControl/>
              <w:spacing w:line="320" w:lineRule="exact"/>
              <w:jc w:val="center"/>
              <w:rPr>
                <w:rFonts w:ascii="仿宋_GB2312" w:hAnsi="宋体" w:eastAsia="仿宋_GB2312"/>
                <w:color w:val="000000"/>
                <w:kern w:val="0"/>
                <w:sz w:val="24"/>
                <w:lang w:bidi="ar"/>
              </w:rPr>
            </w:pPr>
            <w:r>
              <w:rPr>
                <w:rFonts w:hint="eastAsia" w:ascii="仿宋_GB2312" w:hAnsi="宋体" w:eastAsia="仿宋_GB2312"/>
                <w:color w:val="000000"/>
                <w:kern w:val="0"/>
                <w:sz w:val="24"/>
                <w:lang w:bidi="ar"/>
              </w:rPr>
              <w:t>家庭住址</w:t>
            </w:r>
          </w:p>
        </w:tc>
        <w:tc>
          <w:tcPr>
            <w:tcW w:w="6146" w:type="dxa"/>
            <w:gridSpan w:val="6"/>
            <w:tcBorders>
              <w:top w:val="single" w:color="auto" w:sz="4" w:space="0"/>
              <w:left w:val="nil"/>
              <w:bottom w:val="single" w:color="000000" w:sz="4" w:space="0"/>
              <w:right w:val="single" w:color="auto" w:sz="4" w:space="0"/>
            </w:tcBorders>
            <w:vAlign w:val="center"/>
          </w:tcPr>
          <w:p>
            <w:pPr>
              <w:widowControl/>
              <w:spacing w:line="320" w:lineRule="exact"/>
              <w:jc w:val="left"/>
              <w:rPr>
                <w:rFonts w:ascii="仿宋_GB2312" w:hAnsi="宋体" w:eastAsia="仿宋_GB2312" w:cs="宋体"/>
                <w:color w:val="000000"/>
                <w:kern w:val="0"/>
                <w:sz w:val="24"/>
              </w:rPr>
            </w:pPr>
          </w:p>
        </w:tc>
      </w:tr>
      <w:tr>
        <w:tblPrEx>
          <w:tblLayout w:type="fixed"/>
          <w:tblCellMar>
            <w:top w:w="15" w:type="dxa"/>
            <w:left w:w="15" w:type="dxa"/>
            <w:bottom w:w="15" w:type="dxa"/>
            <w:right w:w="15" w:type="dxa"/>
          </w:tblCellMar>
        </w:tblPrEx>
        <w:trPr>
          <w:trHeight w:val="624" w:hRule="atLeast"/>
          <w:jc w:val="center"/>
        </w:trPr>
        <w:tc>
          <w:tcPr>
            <w:tcW w:w="2376"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textAlignment w:val="center"/>
              <w:rPr>
                <w:rFonts w:ascii="仿宋_GB2312" w:hAnsi="宋体" w:eastAsia="仿宋_GB2312"/>
                <w:color w:val="000000"/>
                <w:sz w:val="24"/>
              </w:rPr>
            </w:pPr>
            <w:r>
              <w:rPr>
                <w:rFonts w:hint="eastAsia" w:ascii="仿宋_GB2312" w:hAnsi="宋体" w:eastAsia="仿宋_GB2312"/>
                <w:color w:val="000000"/>
                <w:kern w:val="0"/>
                <w:sz w:val="24"/>
                <w:lang w:bidi="ar"/>
              </w:rPr>
              <w:t>治疗期限</w:t>
            </w:r>
          </w:p>
        </w:tc>
        <w:tc>
          <w:tcPr>
            <w:tcW w:w="6146" w:type="dxa"/>
            <w:gridSpan w:val="6"/>
            <w:tcBorders>
              <w:top w:val="single" w:color="000000" w:sz="4" w:space="0"/>
              <w:left w:val="single" w:color="000000" w:sz="4" w:space="0"/>
              <w:bottom w:val="single" w:color="000000" w:sz="4" w:space="0"/>
              <w:right w:val="single" w:color="000000"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kern w:val="0"/>
                <w:sz w:val="24"/>
                <w:lang w:bidi="ar"/>
              </w:rPr>
              <w:t xml:space="preserve">      年     月     日至      年      月      日</w:t>
            </w:r>
          </w:p>
        </w:tc>
      </w:tr>
      <w:tr>
        <w:tblPrEx>
          <w:tblLayout w:type="fixed"/>
          <w:tblCellMar>
            <w:top w:w="15" w:type="dxa"/>
            <w:left w:w="15" w:type="dxa"/>
            <w:bottom w:w="15" w:type="dxa"/>
            <w:right w:w="15" w:type="dxa"/>
          </w:tblCellMar>
        </w:tblPrEx>
        <w:trPr>
          <w:trHeight w:val="560" w:hRule="atLeast"/>
          <w:jc w:val="center"/>
        </w:trPr>
        <w:tc>
          <w:tcPr>
            <w:tcW w:w="8522" w:type="dxa"/>
            <w:gridSpan w:val="7"/>
            <w:vMerge w:val="restart"/>
            <w:tcBorders>
              <w:top w:val="single" w:color="000000" w:sz="4" w:space="0"/>
              <w:left w:val="single" w:color="000000" w:sz="4" w:space="0"/>
              <w:right w:val="single" w:color="000000" w:sz="4" w:space="0"/>
            </w:tcBorders>
          </w:tcPr>
          <w:p>
            <w:pPr>
              <w:widowControl/>
              <w:spacing w:line="320" w:lineRule="exact"/>
              <w:jc w:val="left"/>
              <w:textAlignment w:val="top"/>
              <w:rPr>
                <w:rFonts w:ascii="仿宋_GB2312" w:hAnsi="宋体" w:eastAsia="仿宋_GB2312"/>
                <w:color w:val="000000"/>
                <w:kern w:val="0"/>
                <w:sz w:val="24"/>
                <w:lang w:bidi="ar"/>
              </w:rPr>
            </w:pPr>
            <w:r>
              <w:rPr>
                <w:rFonts w:hint="eastAsia" w:ascii="仿宋_GB2312" w:hAnsi="宋体" w:eastAsia="仿宋_GB2312"/>
                <w:color w:val="000000"/>
                <w:kern w:val="0"/>
                <w:sz w:val="24"/>
                <w:lang w:bidi="ar"/>
              </w:rPr>
              <w:t>协议医疗机构意见（详细填写病史、诊断依据及治疗期限）</w:t>
            </w:r>
          </w:p>
          <w:p>
            <w:pPr>
              <w:widowControl/>
              <w:spacing w:line="320" w:lineRule="exact"/>
              <w:jc w:val="left"/>
              <w:textAlignment w:val="top"/>
              <w:rPr>
                <w:rFonts w:ascii="仿宋_GB2312" w:hAnsi="宋体" w:eastAsia="仿宋_GB2312"/>
                <w:color w:val="000000"/>
                <w:kern w:val="0"/>
                <w:sz w:val="24"/>
                <w:lang w:bidi="ar"/>
              </w:rPr>
            </w:pPr>
          </w:p>
          <w:p>
            <w:pPr>
              <w:widowControl/>
              <w:spacing w:line="320" w:lineRule="exact"/>
              <w:jc w:val="left"/>
              <w:textAlignment w:val="top"/>
              <w:rPr>
                <w:rFonts w:ascii="仿宋_GB2312" w:hAnsi="宋体" w:eastAsia="仿宋_GB2312"/>
                <w:color w:val="000000"/>
                <w:sz w:val="24"/>
              </w:rPr>
            </w:pPr>
          </w:p>
          <w:p>
            <w:pPr>
              <w:widowControl/>
              <w:spacing w:line="320" w:lineRule="exact"/>
              <w:jc w:val="left"/>
              <w:textAlignment w:val="top"/>
              <w:rPr>
                <w:rFonts w:ascii="仿宋_GB2312" w:hAnsi="宋体" w:eastAsia="仿宋_GB2312"/>
                <w:color w:val="000000"/>
                <w:sz w:val="24"/>
              </w:rPr>
            </w:pPr>
          </w:p>
          <w:p>
            <w:pPr>
              <w:widowControl/>
              <w:spacing w:line="320" w:lineRule="exact"/>
              <w:jc w:val="left"/>
              <w:textAlignment w:val="top"/>
              <w:rPr>
                <w:rFonts w:ascii="仿宋_GB2312" w:hAnsi="宋体" w:eastAsia="仿宋_GB2312"/>
                <w:color w:val="000000"/>
                <w:sz w:val="24"/>
              </w:rPr>
            </w:pPr>
          </w:p>
        </w:tc>
      </w:tr>
      <w:tr>
        <w:tblPrEx>
          <w:tblLayout w:type="fixed"/>
          <w:tblCellMar>
            <w:top w:w="15" w:type="dxa"/>
            <w:left w:w="15" w:type="dxa"/>
            <w:bottom w:w="15" w:type="dxa"/>
            <w:right w:w="15" w:type="dxa"/>
          </w:tblCellMar>
        </w:tblPrEx>
        <w:trPr>
          <w:trHeight w:val="621" w:hRule="atLeast"/>
          <w:jc w:val="center"/>
        </w:trPr>
        <w:tc>
          <w:tcPr>
            <w:tcW w:w="8522" w:type="dxa"/>
            <w:gridSpan w:val="7"/>
            <w:vMerge w:val="continue"/>
            <w:tcBorders>
              <w:left w:val="single" w:color="000000" w:sz="4" w:space="0"/>
              <w:right w:val="single" w:color="000000" w:sz="4" w:space="0"/>
            </w:tcBorders>
          </w:tcPr>
          <w:p>
            <w:pPr>
              <w:spacing w:line="320" w:lineRule="exact"/>
              <w:rPr>
                <w:rFonts w:ascii="仿宋_GB2312" w:hAnsi="宋体" w:eastAsia="仿宋_GB2312"/>
                <w:color w:val="000000"/>
                <w:sz w:val="24"/>
              </w:rPr>
            </w:pPr>
          </w:p>
        </w:tc>
      </w:tr>
      <w:tr>
        <w:tblPrEx>
          <w:tblLayout w:type="fixed"/>
          <w:tblCellMar>
            <w:top w:w="15" w:type="dxa"/>
            <w:left w:w="15" w:type="dxa"/>
            <w:bottom w:w="15" w:type="dxa"/>
            <w:right w:w="15" w:type="dxa"/>
          </w:tblCellMar>
        </w:tblPrEx>
        <w:trPr>
          <w:trHeight w:val="366" w:hRule="atLeast"/>
          <w:jc w:val="center"/>
        </w:trPr>
        <w:tc>
          <w:tcPr>
            <w:tcW w:w="5078" w:type="dxa"/>
            <w:gridSpan w:val="5"/>
            <w:tcBorders>
              <w:left w:val="single" w:color="000000" w:sz="4" w:space="0"/>
              <w:bottom w:val="single" w:color="000000" w:sz="4" w:space="0"/>
            </w:tcBorders>
          </w:tcPr>
          <w:p>
            <w:pPr>
              <w:widowControl/>
              <w:spacing w:line="32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444" w:type="dxa"/>
            <w:gridSpan w:val="2"/>
            <w:tcBorders>
              <w:bottom w:val="single" w:color="000000" w:sz="4" w:space="0"/>
              <w:right w:val="single" w:color="000000" w:sz="4" w:space="0"/>
            </w:tcBorders>
          </w:tcPr>
          <w:p>
            <w:pPr>
              <w:spacing w:line="320" w:lineRule="exact"/>
              <w:rPr>
                <w:rFonts w:ascii="仿宋_GB2312" w:hAnsi="宋体" w:eastAsia="仿宋_GB2312"/>
                <w:color w:val="000000"/>
                <w:sz w:val="24"/>
              </w:rPr>
            </w:pPr>
            <w:r>
              <w:rPr>
                <w:rFonts w:hint="eastAsia" w:ascii="仿宋_GB2312" w:hAnsi="宋体" w:eastAsia="仿宋_GB2312" w:cs="宋体"/>
                <w:color w:val="000000"/>
                <w:kern w:val="0"/>
                <w:sz w:val="24"/>
              </w:rPr>
              <w:t>年</w:t>
            </w:r>
            <w:r>
              <w:rPr>
                <w:rFonts w:hint="eastAsia" w:ascii="仿宋_GB2312" w:hAnsi="宋体" w:eastAsia="仿宋_GB2312"/>
                <w:color w:val="000000"/>
                <w:kern w:val="0"/>
                <w:sz w:val="24"/>
              </w:rPr>
              <w:t xml:space="preserve">    </w:t>
            </w:r>
            <w:r>
              <w:rPr>
                <w:rFonts w:hint="eastAsia" w:ascii="仿宋_GB2312" w:hAnsi="宋体" w:eastAsia="仿宋_GB2312" w:cs="宋体"/>
                <w:color w:val="000000"/>
                <w:kern w:val="0"/>
                <w:sz w:val="24"/>
              </w:rPr>
              <w:t>月</w:t>
            </w:r>
            <w:r>
              <w:rPr>
                <w:rFonts w:hint="eastAsia" w:ascii="仿宋_GB2312" w:hAnsi="宋体" w:eastAsia="仿宋_GB2312"/>
                <w:color w:val="000000"/>
                <w:kern w:val="0"/>
                <w:sz w:val="24"/>
              </w:rPr>
              <w:t xml:space="preserve">    </w:t>
            </w:r>
            <w:r>
              <w:rPr>
                <w:rFonts w:hint="eastAsia" w:ascii="仿宋_GB2312" w:hAnsi="宋体" w:eastAsia="仿宋_GB2312" w:cs="宋体"/>
                <w:color w:val="000000"/>
                <w:kern w:val="0"/>
                <w:sz w:val="24"/>
              </w:rPr>
              <w:t>日</w:t>
            </w:r>
          </w:p>
        </w:tc>
      </w:tr>
      <w:tr>
        <w:tblPrEx>
          <w:tblLayout w:type="fixed"/>
          <w:tblCellMar>
            <w:top w:w="15" w:type="dxa"/>
            <w:left w:w="15" w:type="dxa"/>
            <w:bottom w:w="15" w:type="dxa"/>
            <w:right w:w="15" w:type="dxa"/>
          </w:tblCellMar>
        </w:tblPrEx>
        <w:trPr>
          <w:trHeight w:val="1226" w:hRule="atLeast"/>
          <w:jc w:val="center"/>
        </w:trPr>
        <w:tc>
          <w:tcPr>
            <w:tcW w:w="8522" w:type="dxa"/>
            <w:gridSpan w:val="7"/>
            <w:tcBorders>
              <w:top w:val="single" w:color="auto" w:sz="4" w:space="0"/>
              <w:left w:val="single" w:color="auto" w:sz="4" w:space="0"/>
              <w:bottom w:val="single" w:color="auto" w:sz="4" w:space="0"/>
              <w:right w:val="single" w:color="auto" w:sz="4" w:space="0"/>
            </w:tcBorders>
          </w:tcPr>
          <w:p>
            <w:pPr>
              <w:widowControl/>
              <w:spacing w:line="320" w:lineRule="exact"/>
              <w:jc w:val="left"/>
              <w:textAlignment w:val="top"/>
              <w:rPr>
                <w:rFonts w:ascii="仿宋_GB2312" w:hAnsi="宋体" w:eastAsia="仿宋_GB2312"/>
                <w:color w:val="000000"/>
                <w:kern w:val="0"/>
                <w:sz w:val="24"/>
                <w:lang w:bidi="ar"/>
              </w:rPr>
            </w:pPr>
            <w:r>
              <w:rPr>
                <w:rFonts w:hint="eastAsia" w:ascii="仿宋_GB2312" w:hAnsi="宋体" w:eastAsia="仿宋_GB2312"/>
                <w:color w:val="000000"/>
                <w:kern w:val="0"/>
                <w:sz w:val="24"/>
                <w:lang w:bidi="ar"/>
              </w:rPr>
              <w:t xml:space="preserve">工伤职工意见： </w:t>
            </w:r>
          </w:p>
          <w:p>
            <w:pPr>
              <w:widowControl/>
              <w:spacing w:line="320" w:lineRule="exact"/>
              <w:jc w:val="left"/>
              <w:textAlignment w:val="top"/>
              <w:rPr>
                <w:rFonts w:ascii="仿宋_GB2312" w:hAnsi="宋体" w:eastAsia="仿宋_GB2312"/>
                <w:color w:val="000000"/>
                <w:kern w:val="0"/>
                <w:sz w:val="24"/>
                <w:lang w:bidi="ar"/>
              </w:rPr>
            </w:pPr>
          </w:p>
          <w:p>
            <w:pPr>
              <w:widowControl/>
              <w:spacing w:line="320" w:lineRule="exact"/>
              <w:jc w:val="left"/>
              <w:textAlignment w:val="top"/>
              <w:rPr>
                <w:rFonts w:ascii="仿宋_GB2312" w:hAnsi="宋体" w:eastAsia="仿宋_GB2312"/>
                <w:color w:val="000000"/>
                <w:kern w:val="0"/>
                <w:sz w:val="24"/>
                <w:lang w:bidi="ar"/>
              </w:rPr>
            </w:pPr>
          </w:p>
          <w:p>
            <w:pPr>
              <w:widowControl/>
              <w:spacing w:line="320" w:lineRule="exact"/>
              <w:jc w:val="left"/>
              <w:textAlignment w:val="top"/>
              <w:rPr>
                <w:rFonts w:ascii="仿宋_GB2312" w:hAnsi="宋体" w:eastAsia="仿宋_GB2312"/>
                <w:color w:val="000000"/>
                <w:kern w:val="0"/>
                <w:sz w:val="24"/>
                <w:lang w:bidi="ar"/>
              </w:rPr>
            </w:pPr>
          </w:p>
          <w:p>
            <w:pPr>
              <w:widowControl/>
              <w:spacing w:line="320" w:lineRule="exact"/>
              <w:jc w:val="left"/>
              <w:textAlignment w:val="top"/>
              <w:rPr>
                <w:rFonts w:ascii="仿宋_GB2312" w:hAnsi="宋体" w:eastAsia="仿宋_GB2312"/>
                <w:color w:val="000000"/>
                <w:kern w:val="0"/>
                <w:sz w:val="24"/>
                <w:lang w:bidi="ar"/>
              </w:rPr>
            </w:pPr>
            <w:r>
              <w:rPr>
                <w:rFonts w:hint="eastAsia" w:ascii="仿宋_GB2312" w:hAnsi="宋体" w:eastAsia="仿宋_GB2312"/>
                <w:color w:val="000000"/>
                <w:kern w:val="0"/>
                <w:sz w:val="24"/>
                <w:lang w:bidi="ar"/>
              </w:rPr>
              <w:t xml:space="preserve">                                                                                                                                                                                                                                                                                                                                                            </w:t>
            </w:r>
          </w:p>
          <w:p>
            <w:pPr>
              <w:widowControl/>
              <w:spacing w:line="320" w:lineRule="exact"/>
              <w:jc w:val="left"/>
              <w:textAlignment w:val="top"/>
              <w:rPr>
                <w:rFonts w:ascii="仿宋_GB2312" w:hAnsi="宋体" w:eastAsia="仿宋_GB2312"/>
                <w:color w:val="000000"/>
                <w:sz w:val="24"/>
              </w:rPr>
            </w:pPr>
            <w:r>
              <w:rPr>
                <w:rFonts w:hint="eastAsia" w:ascii="仿宋_GB2312" w:hAnsi="宋体" w:eastAsia="仿宋_GB2312"/>
                <w:color w:val="000000"/>
                <w:kern w:val="0"/>
                <w:sz w:val="24"/>
                <w:lang w:bidi="ar"/>
              </w:rPr>
              <w:t xml:space="preserve">签名：                                                   年    月    日        </w:t>
            </w:r>
          </w:p>
        </w:tc>
      </w:tr>
      <w:tr>
        <w:tblPrEx>
          <w:tblLayout w:type="fixed"/>
          <w:tblCellMar>
            <w:top w:w="15" w:type="dxa"/>
            <w:left w:w="15" w:type="dxa"/>
            <w:bottom w:w="15" w:type="dxa"/>
            <w:right w:w="15" w:type="dxa"/>
          </w:tblCellMar>
        </w:tblPrEx>
        <w:trPr>
          <w:trHeight w:val="1298" w:hRule="atLeast"/>
          <w:jc w:val="center"/>
        </w:trPr>
        <w:tc>
          <w:tcPr>
            <w:tcW w:w="8522" w:type="dxa"/>
            <w:gridSpan w:val="7"/>
            <w:tcBorders>
              <w:top w:val="single" w:color="auto" w:sz="4" w:space="0"/>
              <w:left w:val="single" w:color="000000" w:sz="4" w:space="0"/>
              <w:right w:val="single" w:color="000000" w:sz="4" w:space="0"/>
            </w:tcBorders>
          </w:tcPr>
          <w:p>
            <w:pPr>
              <w:widowControl/>
              <w:spacing w:line="320" w:lineRule="exact"/>
              <w:jc w:val="left"/>
              <w:textAlignment w:val="top"/>
              <w:rPr>
                <w:rFonts w:ascii="仿宋_GB2312" w:hAnsi="宋体" w:eastAsia="仿宋_GB2312"/>
                <w:color w:val="000000"/>
                <w:kern w:val="0"/>
                <w:sz w:val="24"/>
                <w:lang w:bidi="ar"/>
              </w:rPr>
            </w:pPr>
            <w:r>
              <w:rPr>
                <w:rFonts w:hint="eastAsia" w:ascii="仿宋_GB2312" w:hAnsi="宋体" w:eastAsia="仿宋_GB2312"/>
                <w:color w:val="000000"/>
                <w:kern w:val="0"/>
                <w:sz w:val="24"/>
                <w:lang w:bidi="ar"/>
              </w:rPr>
              <w:t>劳动能力鉴定机构意见（签章）：</w:t>
            </w:r>
          </w:p>
          <w:p>
            <w:pPr>
              <w:widowControl/>
              <w:spacing w:line="320" w:lineRule="exact"/>
              <w:jc w:val="left"/>
              <w:textAlignment w:val="top"/>
              <w:rPr>
                <w:rFonts w:ascii="仿宋_GB2312" w:hAnsi="宋体" w:eastAsia="仿宋_GB2312"/>
                <w:color w:val="000000"/>
                <w:kern w:val="0"/>
                <w:sz w:val="24"/>
                <w:lang w:bidi="ar"/>
              </w:rPr>
            </w:pPr>
          </w:p>
          <w:p>
            <w:pPr>
              <w:widowControl/>
              <w:spacing w:line="320" w:lineRule="exact"/>
              <w:jc w:val="left"/>
              <w:textAlignment w:val="top"/>
              <w:rPr>
                <w:rFonts w:ascii="仿宋_GB2312" w:hAnsi="宋体" w:eastAsia="仿宋_GB2312"/>
                <w:color w:val="000000"/>
                <w:kern w:val="0"/>
                <w:sz w:val="24"/>
                <w:lang w:bidi="ar"/>
              </w:rPr>
            </w:pPr>
          </w:p>
          <w:p>
            <w:pPr>
              <w:widowControl/>
              <w:spacing w:line="320" w:lineRule="exact"/>
              <w:jc w:val="left"/>
              <w:textAlignment w:val="top"/>
              <w:rPr>
                <w:rFonts w:ascii="仿宋_GB2312" w:hAnsi="宋体" w:eastAsia="仿宋_GB2312"/>
                <w:color w:val="000000"/>
                <w:kern w:val="0"/>
                <w:sz w:val="24"/>
                <w:lang w:bidi="ar"/>
              </w:rPr>
            </w:pPr>
          </w:p>
          <w:p>
            <w:pPr>
              <w:widowControl/>
              <w:spacing w:line="320" w:lineRule="exact"/>
              <w:jc w:val="left"/>
              <w:textAlignment w:val="top"/>
              <w:rPr>
                <w:rFonts w:ascii="仿宋_GB2312" w:hAnsi="宋体" w:eastAsia="仿宋_GB2312"/>
                <w:color w:val="000000"/>
                <w:kern w:val="0"/>
                <w:sz w:val="24"/>
                <w:lang w:bidi="ar"/>
              </w:rPr>
            </w:pPr>
          </w:p>
          <w:p>
            <w:pPr>
              <w:widowControl/>
              <w:spacing w:line="320" w:lineRule="exact"/>
              <w:jc w:val="left"/>
              <w:textAlignment w:val="top"/>
              <w:rPr>
                <w:rFonts w:ascii="仿宋_GB2312" w:hAnsi="宋体" w:eastAsia="仿宋_GB2312"/>
                <w:color w:val="000000"/>
                <w:sz w:val="24"/>
              </w:rPr>
            </w:pPr>
            <w:r>
              <w:rPr>
                <w:rFonts w:hint="eastAsia" w:ascii="仿宋_GB2312" w:hAnsi="宋体" w:eastAsia="仿宋_GB2312"/>
                <w:color w:val="000000"/>
                <w:kern w:val="0"/>
                <w:sz w:val="24"/>
                <w:lang w:bidi="ar"/>
              </w:rPr>
              <w:t>经办人：                                                 年    月    日</w:t>
            </w:r>
          </w:p>
        </w:tc>
      </w:tr>
      <w:tr>
        <w:tblPrEx>
          <w:tblLayout w:type="fixed"/>
          <w:tblCellMar>
            <w:top w:w="15" w:type="dxa"/>
            <w:left w:w="15" w:type="dxa"/>
            <w:bottom w:w="15" w:type="dxa"/>
            <w:right w:w="15" w:type="dxa"/>
          </w:tblCellMar>
        </w:tblPrEx>
        <w:trPr>
          <w:trHeight w:val="1131" w:hRule="atLeast"/>
          <w:jc w:val="center"/>
        </w:trPr>
        <w:tc>
          <w:tcPr>
            <w:tcW w:w="8522" w:type="dxa"/>
            <w:gridSpan w:val="7"/>
            <w:tcBorders>
              <w:top w:val="single" w:color="000000" w:sz="4" w:space="0"/>
            </w:tcBorders>
          </w:tcPr>
          <w:p>
            <w:pPr>
              <w:widowControl/>
              <w:spacing w:line="320" w:lineRule="exact"/>
              <w:rPr>
                <w:rFonts w:ascii="仿宋_GB2312" w:hAnsi="宋体" w:eastAsia="仿宋_GB2312"/>
                <w:color w:val="000000"/>
                <w:kern w:val="0"/>
                <w:sz w:val="24"/>
                <w:lang w:bidi="ar"/>
              </w:rPr>
            </w:pPr>
            <w:r>
              <w:rPr>
                <w:rFonts w:hint="eastAsia" w:ascii="仿宋_GB2312" w:hAnsi="宋体" w:eastAsia="仿宋_GB2312"/>
                <w:color w:val="000000"/>
                <w:kern w:val="0"/>
                <w:sz w:val="24"/>
                <w:lang w:bidi="ar"/>
              </w:rPr>
              <w:t>备注：1.工伤职工类别填写在职、退休或老工伤。</w:t>
            </w:r>
          </w:p>
          <w:p>
            <w:pPr>
              <w:widowControl/>
              <w:spacing w:line="320" w:lineRule="exact"/>
              <w:ind w:left="630" w:leftChars="300" w:firstLine="120" w:firstLineChars="50"/>
              <w:rPr>
                <w:rFonts w:ascii="仿宋_GB2312" w:hAnsi="宋体" w:eastAsia="仿宋_GB2312"/>
                <w:color w:val="000000"/>
                <w:kern w:val="0"/>
                <w:sz w:val="24"/>
                <w:lang w:bidi="ar"/>
              </w:rPr>
            </w:pPr>
            <w:r>
              <w:rPr>
                <w:rFonts w:hint="eastAsia" w:ascii="仿宋_GB2312" w:hAnsi="宋体" w:eastAsia="仿宋_GB2312"/>
                <w:color w:val="000000"/>
                <w:kern w:val="0"/>
                <w:sz w:val="24"/>
                <w:lang w:bidi="ar"/>
              </w:rPr>
              <w:t>2.旧伤复发有异议的需经劳动能力鉴定机构确认时，相关部门在劳动能力鉴定机构意见栏填写意见。</w:t>
            </w:r>
          </w:p>
          <w:p>
            <w:pPr>
              <w:widowControl/>
              <w:spacing w:line="320" w:lineRule="exact"/>
              <w:rPr>
                <w:rFonts w:ascii="仿宋_GB2312" w:hAnsi="宋体" w:eastAsia="仿宋_GB2312"/>
                <w:color w:val="000000"/>
                <w:kern w:val="0"/>
                <w:sz w:val="24"/>
                <w:lang w:bidi="ar"/>
              </w:rPr>
            </w:pPr>
          </w:p>
        </w:tc>
      </w:tr>
    </w:tbl>
    <w:p>
      <w:pPr>
        <w:widowControl/>
        <w:spacing w:line="360" w:lineRule="exact"/>
        <w:rPr>
          <w:rFonts w:ascii="仿宋_GB2312" w:eastAsia="仿宋_GB2312"/>
          <w:sz w:val="24"/>
        </w:rPr>
        <w:sectPr>
          <w:pgSz w:w="11906" w:h="16838"/>
          <w:pgMar w:top="1440" w:right="1800" w:bottom="1276" w:left="1800" w:header="851" w:footer="850" w:gutter="0"/>
          <w:cols w:space="720" w:num="1"/>
          <w:docGrid w:type="lines" w:linePitch="312" w:charSpace="0"/>
        </w:sectPr>
      </w:pPr>
    </w:p>
    <w:tbl>
      <w:tblPr>
        <w:tblStyle w:val="24"/>
        <w:tblW w:w="14338" w:type="dxa"/>
        <w:tblInd w:w="0" w:type="dxa"/>
        <w:tblLayout w:type="fixed"/>
        <w:tblCellMar>
          <w:top w:w="0" w:type="dxa"/>
          <w:left w:w="108" w:type="dxa"/>
          <w:bottom w:w="0" w:type="dxa"/>
          <w:right w:w="108" w:type="dxa"/>
        </w:tblCellMar>
      </w:tblPr>
      <w:tblGrid>
        <w:gridCol w:w="887"/>
        <w:gridCol w:w="1091"/>
        <w:gridCol w:w="869"/>
        <w:gridCol w:w="201"/>
        <w:gridCol w:w="691"/>
        <w:gridCol w:w="381"/>
        <w:gridCol w:w="510"/>
        <w:gridCol w:w="559"/>
        <w:gridCol w:w="422"/>
        <w:gridCol w:w="651"/>
        <w:gridCol w:w="447"/>
        <w:gridCol w:w="625"/>
        <w:gridCol w:w="473"/>
        <w:gridCol w:w="596"/>
        <w:gridCol w:w="691"/>
        <w:gridCol w:w="381"/>
        <w:gridCol w:w="700"/>
        <w:gridCol w:w="370"/>
        <w:gridCol w:w="946"/>
        <w:gridCol w:w="126"/>
        <w:gridCol w:w="1078"/>
        <w:gridCol w:w="1643"/>
      </w:tblGrid>
      <w:tr>
        <w:tblPrEx>
          <w:tblLayout w:type="fixed"/>
          <w:tblCellMar>
            <w:top w:w="0" w:type="dxa"/>
            <w:left w:w="108" w:type="dxa"/>
            <w:bottom w:w="0" w:type="dxa"/>
            <w:right w:w="108" w:type="dxa"/>
          </w:tblCellMar>
        </w:tblPrEx>
        <w:trPr>
          <w:trHeight w:val="405" w:hRule="atLeast"/>
        </w:trPr>
        <w:tc>
          <w:tcPr>
            <w:tcW w:w="14338" w:type="dxa"/>
            <w:gridSpan w:val="22"/>
            <w:tcBorders>
              <w:top w:val="nil"/>
              <w:left w:val="nil"/>
              <w:bottom w:val="nil"/>
              <w:right w:val="nil"/>
            </w:tcBorders>
            <w:vAlign w:val="bottom"/>
          </w:tcPr>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附件7</w:t>
            </w: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工伤保险住院伙食补助费结算表</w:t>
            </w:r>
          </w:p>
          <w:p>
            <w:pPr>
              <w:widowControl/>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270" w:hRule="atLeast"/>
        </w:trPr>
        <w:tc>
          <w:tcPr>
            <w:tcW w:w="887" w:type="dxa"/>
            <w:tcBorders>
              <w:top w:val="nil"/>
              <w:left w:val="nil"/>
              <w:bottom w:val="nil"/>
              <w:right w:val="nil"/>
            </w:tcBorders>
            <w:vAlign w:val="bottom"/>
          </w:tcPr>
          <w:p>
            <w:pPr>
              <w:widowControl/>
              <w:jc w:val="center"/>
              <w:rPr>
                <w:rFonts w:ascii="仿宋_GB2312" w:hAnsi="宋体" w:eastAsia="仿宋_GB2312" w:cs="宋体"/>
                <w:b/>
                <w:bCs/>
                <w:color w:val="000000"/>
                <w:kern w:val="0"/>
                <w:sz w:val="32"/>
                <w:szCs w:val="32"/>
              </w:rPr>
            </w:pPr>
          </w:p>
        </w:tc>
        <w:tc>
          <w:tcPr>
            <w:tcW w:w="1091" w:type="dxa"/>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869" w:type="dxa"/>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892" w:type="dxa"/>
            <w:gridSpan w:val="2"/>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891" w:type="dxa"/>
            <w:gridSpan w:val="2"/>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981" w:type="dxa"/>
            <w:gridSpan w:val="2"/>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1098" w:type="dxa"/>
            <w:gridSpan w:val="2"/>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1098" w:type="dxa"/>
            <w:gridSpan w:val="2"/>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1287" w:type="dxa"/>
            <w:gridSpan w:val="2"/>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1081" w:type="dxa"/>
            <w:gridSpan w:val="2"/>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1316" w:type="dxa"/>
            <w:gridSpan w:val="2"/>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1204" w:type="dxa"/>
            <w:gridSpan w:val="2"/>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1643"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r>
      <w:tr>
        <w:tblPrEx>
          <w:tblLayout w:type="fixed"/>
          <w:tblCellMar>
            <w:top w:w="0" w:type="dxa"/>
            <w:left w:w="108" w:type="dxa"/>
            <w:bottom w:w="0" w:type="dxa"/>
            <w:right w:w="108" w:type="dxa"/>
          </w:tblCellMar>
        </w:tblPrEx>
        <w:trPr>
          <w:trHeight w:val="420" w:hRule="atLeast"/>
        </w:trPr>
        <w:tc>
          <w:tcPr>
            <w:tcW w:w="1978"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参保地机构名称：</w:t>
            </w:r>
          </w:p>
        </w:tc>
        <w:tc>
          <w:tcPr>
            <w:tcW w:w="869"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892"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891"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981"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2196" w:type="dxa"/>
            <w:gridSpan w:val="4"/>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结算批次：</w:t>
            </w:r>
          </w:p>
        </w:tc>
        <w:tc>
          <w:tcPr>
            <w:tcW w:w="1287"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081"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316"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204"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643"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r>
      <w:tr>
        <w:tblPrEx>
          <w:tblLayout w:type="fixed"/>
          <w:tblCellMar>
            <w:top w:w="0" w:type="dxa"/>
            <w:left w:w="108" w:type="dxa"/>
            <w:bottom w:w="0" w:type="dxa"/>
            <w:right w:w="108" w:type="dxa"/>
          </w:tblCellMar>
        </w:tblPrEx>
        <w:trPr>
          <w:trHeight w:val="420" w:hRule="atLeast"/>
        </w:trPr>
        <w:tc>
          <w:tcPr>
            <w:tcW w:w="1978"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参保地机构编码：</w:t>
            </w:r>
          </w:p>
        </w:tc>
        <w:tc>
          <w:tcPr>
            <w:tcW w:w="869"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892"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891"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981"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2196" w:type="dxa"/>
            <w:gridSpan w:val="4"/>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生成日期： </w:t>
            </w:r>
          </w:p>
        </w:tc>
        <w:tc>
          <w:tcPr>
            <w:tcW w:w="1287"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081"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316"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204"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643" w:type="dxa"/>
            <w:tcBorders>
              <w:top w:val="nil"/>
              <w:left w:val="nil"/>
              <w:bottom w:val="nil"/>
              <w:right w:val="nil"/>
            </w:tcBorders>
            <w:vAlign w:val="bottom"/>
          </w:tcPr>
          <w:p>
            <w:pPr>
              <w:widowControl/>
              <w:jc w:val="left"/>
              <w:rPr>
                <w:rFonts w:ascii="仿宋_GB2312" w:hAnsi="Times New Roman" w:eastAsia="仿宋_GB2312"/>
                <w:kern w:val="0"/>
                <w:sz w:val="20"/>
                <w:szCs w:val="20"/>
              </w:rPr>
            </w:pPr>
            <w:r>
              <w:rPr>
                <w:rFonts w:hint="eastAsia" w:ascii="仿宋_GB2312" w:hAnsi="Times New Roman" w:eastAsia="仿宋_GB2312"/>
                <w:kern w:val="0"/>
                <w:sz w:val="20"/>
                <w:szCs w:val="20"/>
              </w:rPr>
              <w:t>单位：元</w:t>
            </w:r>
          </w:p>
        </w:tc>
      </w:tr>
      <w:tr>
        <w:tblPrEx>
          <w:tblLayout w:type="fixed"/>
          <w:tblCellMar>
            <w:top w:w="0" w:type="dxa"/>
            <w:left w:w="108" w:type="dxa"/>
            <w:bottom w:w="0" w:type="dxa"/>
            <w:right w:w="108" w:type="dxa"/>
          </w:tblCellMar>
        </w:tblPrEx>
        <w:trPr>
          <w:trHeight w:val="1410" w:hRule="atLeast"/>
        </w:trPr>
        <w:tc>
          <w:tcPr>
            <w:tcW w:w="88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序号</w:t>
            </w:r>
          </w:p>
        </w:tc>
        <w:tc>
          <w:tcPr>
            <w:tcW w:w="10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姓名</w:t>
            </w:r>
          </w:p>
        </w:tc>
        <w:tc>
          <w:tcPr>
            <w:tcW w:w="107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身份证号码</w:t>
            </w:r>
          </w:p>
        </w:tc>
        <w:tc>
          <w:tcPr>
            <w:tcW w:w="107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协议机构名称</w:t>
            </w:r>
          </w:p>
        </w:tc>
        <w:tc>
          <w:tcPr>
            <w:tcW w:w="106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就医地</w:t>
            </w:r>
          </w:p>
        </w:tc>
        <w:tc>
          <w:tcPr>
            <w:tcW w:w="1073"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开户</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银行</w:t>
            </w:r>
          </w:p>
        </w:tc>
        <w:tc>
          <w:tcPr>
            <w:tcW w:w="107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银行</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账号</w:t>
            </w:r>
          </w:p>
        </w:tc>
        <w:tc>
          <w:tcPr>
            <w:tcW w:w="1069"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住院号</w:t>
            </w:r>
          </w:p>
        </w:tc>
        <w:tc>
          <w:tcPr>
            <w:tcW w:w="107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入院</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日期</w:t>
            </w:r>
          </w:p>
        </w:tc>
        <w:tc>
          <w:tcPr>
            <w:tcW w:w="1070"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出院</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日期</w:t>
            </w:r>
          </w:p>
        </w:tc>
        <w:tc>
          <w:tcPr>
            <w:tcW w:w="107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住院</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天数</w:t>
            </w:r>
          </w:p>
        </w:tc>
        <w:tc>
          <w:tcPr>
            <w:tcW w:w="107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费用</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标准</w:t>
            </w:r>
          </w:p>
        </w:tc>
        <w:tc>
          <w:tcPr>
            <w:tcW w:w="1643"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伙食补助费用</w:t>
            </w:r>
          </w:p>
        </w:tc>
      </w:tr>
      <w:tr>
        <w:tblPrEx>
          <w:tblLayout w:type="fixed"/>
          <w:tblCellMar>
            <w:top w:w="0" w:type="dxa"/>
            <w:left w:w="108" w:type="dxa"/>
            <w:bottom w:w="0" w:type="dxa"/>
            <w:right w:w="108" w:type="dxa"/>
          </w:tblCellMar>
        </w:tblPrEx>
        <w:trPr>
          <w:trHeight w:val="454" w:hRule="atLeast"/>
        </w:trPr>
        <w:tc>
          <w:tcPr>
            <w:tcW w:w="887"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1091"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0"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3"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0"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8"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43"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  </w:t>
            </w:r>
          </w:p>
        </w:tc>
      </w:tr>
      <w:tr>
        <w:tblPrEx>
          <w:tblLayout w:type="fixed"/>
          <w:tblCellMar>
            <w:top w:w="0" w:type="dxa"/>
            <w:left w:w="108" w:type="dxa"/>
            <w:bottom w:w="0" w:type="dxa"/>
            <w:right w:w="108" w:type="dxa"/>
          </w:tblCellMar>
        </w:tblPrEx>
        <w:trPr>
          <w:trHeight w:val="454" w:hRule="atLeast"/>
        </w:trPr>
        <w:tc>
          <w:tcPr>
            <w:tcW w:w="887"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091"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0"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3"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0"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8"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43"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887"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1091"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0"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3"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0"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8"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43"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887"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1091"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0"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3"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69"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0"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2" w:type="dxa"/>
            <w:gridSpan w:val="2"/>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78"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43"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2695" w:type="dxa"/>
            <w:gridSpan w:val="21"/>
            <w:tcBorders>
              <w:top w:val="single" w:color="auto" w:sz="4" w:space="0"/>
              <w:left w:val="single" w:color="auto" w:sz="4" w:space="0"/>
              <w:bottom w:val="single" w:color="auto" w:sz="4" w:space="0"/>
              <w:right w:val="single" w:color="000000"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1643"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887"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受理：</w:t>
            </w:r>
          </w:p>
        </w:tc>
        <w:tc>
          <w:tcPr>
            <w:tcW w:w="1091" w:type="dxa"/>
            <w:tcBorders>
              <w:top w:val="nil"/>
              <w:left w:val="nil"/>
              <w:bottom w:val="nil"/>
              <w:right w:val="nil"/>
            </w:tcBorders>
            <w:vAlign w:val="bottom"/>
          </w:tcPr>
          <w:p>
            <w:pPr>
              <w:widowControl/>
              <w:jc w:val="center"/>
              <w:rPr>
                <w:rFonts w:ascii="仿宋_GB2312" w:hAnsi="宋体" w:eastAsia="仿宋_GB2312" w:cs="宋体"/>
                <w:color w:val="000000"/>
                <w:kern w:val="0"/>
                <w:sz w:val="22"/>
                <w:szCs w:val="22"/>
              </w:rPr>
            </w:pPr>
          </w:p>
        </w:tc>
        <w:tc>
          <w:tcPr>
            <w:tcW w:w="869"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892" w:type="dxa"/>
            <w:gridSpan w:val="2"/>
            <w:tcBorders>
              <w:top w:val="nil"/>
              <w:left w:val="nil"/>
              <w:bottom w:val="nil"/>
              <w:right w:val="nil"/>
            </w:tcBorders>
            <w:vAlign w:val="bottom"/>
          </w:tcPr>
          <w:p>
            <w:pPr>
              <w:widowControl/>
              <w:ind w:firstLine="110" w:firstLineChars="5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w:t>
            </w:r>
          </w:p>
        </w:tc>
        <w:tc>
          <w:tcPr>
            <w:tcW w:w="891"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981" w:type="dxa"/>
            <w:gridSpan w:val="2"/>
            <w:tcBorders>
              <w:top w:val="nil"/>
              <w:left w:val="nil"/>
              <w:bottom w:val="nil"/>
              <w:right w:val="nil"/>
            </w:tcBorders>
            <w:vAlign w:val="bottom"/>
          </w:tcPr>
          <w:p>
            <w:pPr>
              <w:widowControl/>
              <w:ind w:firstLine="220" w:firstLineChars="100"/>
              <w:jc w:val="left"/>
              <w:rPr>
                <w:rFonts w:ascii="仿宋_GB2312" w:hAnsi="宋体" w:eastAsia="仿宋_GB2312" w:cs="宋体"/>
                <w:color w:val="000000"/>
                <w:kern w:val="0"/>
                <w:sz w:val="22"/>
                <w:szCs w:val="22"/>
              </w:rPr>
            </w:pPr>
          </w:p>
        </w:tc>
        <w:tc>
          <w:tcPr>
            <w:tcW w:w="1098"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098" w:type="dxa"/>
            <w:gridSpan w:val="2"/>
            <w:tcBorders>
              <w:top w:val="nil"/>
              <w:left w:val="nil"/>
              <w:bottom w:val="nil"/>
              <w:right w:val="nil"/>
            </w:tcBorders>
            <w:vAlign w:val="bottom"/>
          </w:tcPr>
          <w:p>
            <w:pPr>
              <w:widowControl/>
              <w:ind w:firstLine="220" w:firstLineChars="100"/>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决定:</w:t>
            </w:r>
          </w:p>
        </w:tc>
        <w:tc>
          <w:tcPr>
            <w:tcW w:w="1287"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081"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316"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机构签章：</w:t>
            </w:r>
          </w:p>
        </w:tc>
        <w:tc>
          <w:tcPr>
            <w:tcW w:w="1204"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643"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r>
    </w:tbl>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tbl>
      <w:tblPr>
        <w:tblStyle w:val="24"/>
        <w:tblW w:w="14338" w:type="dxa"/>
        <w:tblInd w:w="0" w:type="dxa"/>
        <w:tblLayout w:type="fixed"/>
        <w:tblCellMar>
          <w:top w:w="0" w:type="dxa"/>
          <w:left w:w="108" w:type="dxa"/>
          <w:bottom w:w="0" w:type="dxa"/>
          <w:right w:w="108" w:type="dxa"/>
        </w:tblCellMar>
      </w:tblPr>
      <w:tblGrid>
        <w:gridCol w:w="1445"/>
        <w:gridCol w:w="2057"/>
        <w:gridCol w:w="2166"/>
        <w:gridCol w:w="1445"/>
        <w:gridCol w:w="1445"/>
        <w:gridCol w:w="1444"/>
        <w:gridCol w:w="1446"/>
        <w:gridCol w:w="1445"/>
        <w:gridCol w:w="1445"/>
      </w:tblGrid>
      <w:tr>
        <w:tblPrEx>
          <w:tblLayout w:type="fixed"/>
          <w:tblCellMar>
            <w:top w:w="0" w:type="dxa"/>
            <w:left w:w="108" w:type="dxa"/>
            <w:bottom w:w="0" w:type="dxa"/>
            <w:right w:w="108" w:type="dxa"/>
          </w:tblCellMar>
        </w:tblPrEx>
        <w:trPr>
          <w:trHeight w:val="570" w:hRule="atLeast"/>
        </w:trPr>
        <w:tc>
          <w:tcPr>
            <w:tcW w:w="14338" w:type="dxa"/>
            <w:gridSpan w:val="9"/>
            <w:tcBorders>
              <w:top w:val="nil"/>
              <w:left w:val="nil"/>
              <w:bottom w:val="nil"/>
              <w:right w:val="nil"/>
            </w:tcBorders>
            <w:vAlign w:val="center"/>
          </w:tcPr>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附件8</w:t>
            </w: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工伤保险费用结算表</w:t>
            </w:r>
          </w:p>
          <w:p>
            <w:pPr>
              <w:widowControl/>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270" w:hRule="atLeast"/>
        </w:trPr>
        <w:tc>
          <w:tcPr>
            <w:tcW w:w="3502"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协议机构名称： </w:t>
            </w:r>
          </w:p>
        </w:tc>
        <w:tc>
          <w:tcPr>
            <w:tcW w:w="5056" w:type="dxa"/>
            <w:gridSpan w:val="3"/>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结算机构名称： </w:t>
            </w:r>
          </w:p>
        </w:tc>
        <w:tc>
          <w:tcPr>
            <w:tcW w:w="2890"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结算批次：</w:t>
            </w:r>
          </w:p>
        </w:tc>
        <w:tc>
          <w:tcPr>
            <w:tcW w:w="1445"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445"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r>
      <w:tr>
        <w:tblPrEx>
          <w:tblLayout w:type="fixed"/>
          <w:tblCellMar>
            <w:top w:w="0" w:type="dxa"/>
            <w:left w:w="108" w:type="dxa"/>
            <w:bottom w:w="0" w:type="dxa"/>
            <w:right w:w="108" w:type="dxa"/>
          </w:tblCellMar>
        </w:tblPrEx>
        <w:trPr>
          <w:trHeight w:val="270" w:hRule="atLeast"/>
        </w:trPr>
        <w:tc>
          <w:tcPr>
            <w:tcW w:w="3502"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协议机构编码：</w:t>
            </w:r>
          </w:p>
        </w:tc>
        <w:tc>
          <w:tcPr>
            <w:tcW w:w="3611"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结算机构编码：</w:t>
            </w:r>
          </w:p>
        </w:tc>
        <w:tc>
          <w:tcPr>
            <w:tcW w:w="1445"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2890"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生成日期： </w:t>
            </w:r>
          </w:p>
        </w:tc>
        <w:tc>
          <w:tcPr>
            <w:tcW w:w="1445"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445" w:type="dxa"/>
            <w:tcBorders>
              <w:top w:val="nil"/>
              <w:left w:val="nil"/>
              <w:bottom w:val="nil"/>
              <w:right w:val="nil"/>
            </w:tcBorders>
            <w:vAlign w:val="bottom"/>
          </w:tcPr>
          <w:p>
            <w:pPr>
              <w:widowControl/>
              <w:jc w:val="left"/>
              <w:rPr>
                <w:rFonts w:ascii="仿宋_GB2312" w:hAnsi="Times New Roman" w:eastAsia="仿宋_GB2312"/>
                <w:kern w:val="0"/>
                <w:sz w:val="20"/>
                <w:szCs w:val="20"/>
              </w:rPr>
            </w:pPr>
            <w:r>
              <w:rPr>
                <w:rFonts w:hint="eastAsia" w:ascii="仿宋_GB2312" w:hAnsi="Times New Roman" w:eastAsia="仿宋_GB2312"/>
                <w:kern w:val="0"/>
                <w:sz w:val="20"/>
                <w:szCs w:val="20"/>
              </w:rPr>
              <w:t>单位：元</w:t>
            </w:r>
          </w:p>
        </w:tc>
      </w:tr>
      <w:tr>
        <w:tblPrEx>
          <w:tblLayout w:type="fixed"/>
          <w:tblCellMar>
            <w:top w:w="0" w:type="dxa"/>
            <w:left w:w="108" w:type="dxa"/>
            <w:bottom w:w="0" w:type="dxa"/>
            <w:right w:w="108" w:type="dxa"/>
          </w:tblCellMar>
        </w:tblPrEx>
        <w:trPr>
          <w:trHeight w:val="645" w:hRule="atLeast"/>
        </w:trPr>
        <w:tc>
          <w:tcPr>
            <w:tcW w:w="144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序号</w:t>
            </w:r>
          </w:p>
        </w:tc>
        <w:tc>
          <w:tcPr>
            <w:tcW w:w="205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参保地</w:t>
            </w:r>
          </w:p>
        </w:tc>
        <w:tc>
          <w:tcPr>
            <w:tcW w:w="216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就医类别</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人次</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费用</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总额</w:t>
            </w:r>
          </w:p>
        </w:tc>
        <w:tc>
          <w:tcPr>
            <w:tcW w:w="1444"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基金支付</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总额</w:t>
            </w:r>
          </w:p>
        </w:tc>
        <w:tc>
          <w:tcPr>
            <w:tcW w:w="1446"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自付</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金额</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扣款</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金额</w:t>
            </w:r>
          </w:p>
        </w:tc>
        <w:tc>
          <w:tcPr>
            <w:tcW w:w="144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基金结算</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金额</w:t>
            </w:r>
          </w:p>
        </w:tc>
      </w:tr>
      <w:tr>
        <w:tblPrEx>
          <w:tblLayout w:type="fixed"/>
          <w:tblCellMar>
            <w:top w:w="0" w:type="dxa"/>
            <w:left w:w="108" w:type="dxa"/>
            <w:bottom w:w="0" w:type="dxa"/>
            <w:right w:w="108" w:type="dxa"/>
          </w:tblCellMar>
        </w:tblPrEx>
        <w:trPr>
          <w:trHeight w:val="454" w:hRule="atLeast"/>
        </w:trPr>
        <w:tc>
          <w:tcPr>
            <w:tcW w:w="144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20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1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44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20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1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44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20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1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445"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2057"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216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5668"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6"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4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445" w:type="dxa"/>
            <w:tcBorders>
              <w:top w:val="nil"/>
              <w:left w:val="nil"/>
              <w:bottom w:val="nil"/>
              <w:right w:val="nil"/>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受理：</w:t>
            </w:r>
          </w:p>
        </w:tc>
        <w:tc>
          <w:tcPr>
            <w:tcW w:w="2057"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2166"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w:t>
            </w:r>
          </w:p>
        </w:tc>
        <w:tc>
          <w:tcPr>
            <w:tcW w:w="1445"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决定：</w:t>
            </w:r>
          </w:p>
        </w:tc>
        <w:tc>
          <w:tcPr>
            <w:tcW w:w="1445" w:type="dxa"/>
            <w:tcBorders>
              <w:top w:val="nil"/>
              <w:left w:val="nil"/>
              <w:bottom w:val="nil"/>
              <w:right w:val="nil"/>
            </w:tcBorders>
            <w:vAlign w:val="bottom"/>
          </w:tcPr>
          <w:p>
            <w:pPr>
              <w:widowControl/>
              <w:jc w:val="center"/>
              <w:rPr>
                <w:rFonts w:ascii="仿宋_GB2312" w:hAnsi="宋体" w:eastAsia="仿宋_GB2312" w:cs="宋体"/>
                <w:color w:val="000000"/>
                <w:kern w:val="0"/>
                <w:sz w:val="22"/>
                <w:szCs w:val="22"/>
              </w:rPr>
            </w:pPr>
          </w:p>
        </w:tc>
        <w:tc>
          <w:tcPr>
            <w:tcW w:w="2890"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机构签章：</w:t>
            </w:r>
          </w:p>
        </w:tc>
        <w:tc>
          <w:tcPr>
            <w:tcW w:w="1445"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445"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r>
    </w:tbl>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附件9</w:t>
      </w:r>
    </w:p>
    <w:tbl>
      <w:tblPr>
        <w:tblStyle w:val="24"/>
        <w:tblW w:w="15040" w:type="dxa"/>
        <w:tblInd w:w="108" w:type="dxa"/>
        <w:tblLayout w:type="fixed"/>
        <w:tblCellMar>
          <w:top w:w="0" w:type="dxa"/>
          <w:left w:w="108" w:type="dxa"/>
          <w:bottom w:w="0" w:type="dxa"/>
          <w:right w:w="108" w:type="dxa"/>
        </w:tblCellMar>
      </w:tblPr>
      <w:tblGrid>
        <w:gridCol w:w="1080"/>
        <w:gridCol w:w="1540"/>
        <w:gridCol w:w="1620"/>
        <w:gridCol w:w="1080"/>
        <w:gridCol w:w="1080"/>
        <w:gridCol w:w="1080"/>
        <w:gridCol w:w="1080"/>
        <w:gridCol w:w="1080"/>
        <w:gridCol w:w="1080"/>
        <w:gridCol w:w="1080"/>
        <w:gridCol w:w="1080"/>
        <w:gridCol w:w="1080"/>
        <w:gridCol w:w="1080"/>
      </w:tblGrid>
      <w:tr>
        <w:tblPrEx>
          <w:tblLayout w:type="fixed"/>
          <w:tblCellMar>
            <w:top w:w="0" w:type="dxa"/>
            <w:left w:w="108" w:type="dxa"/>
            <w:bottom w:w="0" w:type="dxa"/>
            <w:right w:w="108" w:type="dxa"/>
          </w:tblCellMar>
        </w:tblPrEx>
        <w:trPr>
          <w:trHeight w:val="630" w:hRule="atLeast"/>
        </w:trPr>
        <w:tc>
          <w:tcPr>
            <w:tcW w:w="15040" w:type="dxa"/>
            <w:gridSpan w:val="13"/>
            <w:tcBorders>
              <w:top w:val="nil"/>
              <w:left w:val="nil"/>
              <w:bottom w:val="nil"/>
              <w:right w:val="nil"/>
            </w:tcBorders>
            <w:vAlign w:val="center"/>
          </w:tcPr>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工伤保险费用结算明细表</w:t>
            </w:r>
          </w:p>
          <w:p>
            <w:pPr>
              <w:pStyle w:val="11"/>
              <w:spacing w:line="480" w:lineRule="exact"/>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270" w:hRule="atLeast"/>
        </w:trPr>
        <w:tc>
          <w:tcPr>
            <w:tcW w:w="2620"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协议机构名称：</w:t>
            </w:r>
          </w:p>
        </w:tc>
        <w:tc>
          <w:tcPr>
            <w:tcW w:w="162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0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2160"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结算机构名称：</w:t>
            </w:r>
          </w:p>
        </w:tc>
        <w:tc>
          <w:tcPr>
            <w:tcW w:w="108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080" w:type="dxa"/>
            <w:tcBorders>
              <w:top w:val="nil"/>
              <w:left w:val="nil"/>
              <w:bottom w:val="nil"/>
              <w:right w:val="nil"/>
            </w:tcBorders>
          </w:tcPr>
          <w:p>
            <w:pPr>
              <w:widowControl/>
              <w:jc w:val="left"/>
              <w:rPr>
                <w:rFonts w:ascii="仿宋_GB2312" w:hAnsi="Times New Roman" w:eastAsia="仿宋_GB2312"/>
                <w:kern w:val="0"/>
                <w:sz w:val="20"/>
                <w:szCs w:val="20"/>
              </w:rPr>
            </w:pPr>
          </w:p>
        </w:tc>
        <w:tc>
          <w:tcPr>
            <w:tcW w:w="10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2160"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结算批次：</w:t>
            </w:r>
          </w:p>
        </w:tc>
        <w:tc>
          <w:tcPr>
            <w:tcW w:w="108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0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r>
      <w:tr>
        <w:tblPrEx>
          <w:tblLayout w:type="fixed"/>
          <w:tblCellMar>
            <w:top w:w="0" w:type="dxa"/>
            <w:left w:w="108" w:type="dxa"/>
            <w:bottom w:w="0" w:type="dxa"/>
            <w:right w:w="108" w:type="dxa"/>
          </w:tblCellMar>
        </w:tblPrEx>
        <w:trPr>
          <w:trHeight w:val="270" w:hRule="atLeast"/>
        </w:trPr>
        <w:tc>
          <w:tcPr>
            <w:tcW w:w="2620"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协议机构编码：</w:t>
            </w:r>
          </w:p>
        </w:tc>
        <w:tc>
          <w:tcPr>
            <w:tcW w:w="162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0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2160"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结算机构编码：</w:t>
            </w:r>
          </w:p>
        </w:tc>
        <w:tc>
          <w:tcPr>
            <w:tcW w:w="108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080" w:type="dxa"/>
            <w:tcBorders>
              <w:top w:val="nil"/>
              <w:left w:val="nil"/>
              <w:bottom w:val="single" w:color="auto" w:sz="4" w:space="0"/>
              <w:right w:val="nil"/>
            </w:tcBorders>
          </w:tcPr>
          <w:p>
            <w:pPr>
              <w:widowControl/>
              <w:jc w:val="left"/>
              <w:rPr>
                <w:rFonts w:ascii="仿宋_GB2312" w:hAnsi="Times New Roman" w:eastAsia="仿宋_GB2312"/>
                <w:kern w:val="0"/>
                <w:sz w:val="20"/>
                <w:szCs w:val="20"/>
              </w:rPr>
            </w:pPr>
          </w:p>
        </w:tc>
        <w:tc>
          <w:tcPr>
            <w:tcW w:w="10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2160"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xml:space="preserve">生成日期： </w:t>
            </w:r>
          </w:p>
        </w:tc>
        <w:tc>
          <w:tcPr>
            <w:tcW w:w="108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080" w:type="dxa"/>
            <w:tcBorders>
              <w:top w:val="nil"/>
              <w:left w:val="nil"/>
              <w:bottom w:val="nil"/>
              <w:right w:val="nil"/>
            </w:tcBorders>
            <w:vAlign w:val="bottom"/>
          </w:tcPr>
          <w:p>
            <w:pPr>
              <w:widowControl/>
              <w:jc w:val="left"/>
              <w:rPr>
                <w:rFonts w:ascii="仿宋_GB2312" w:hAnsi="Times New Roman" w:eastAsia="仿宋_GB2312"/>
                <w:kern w:val="0"/>
                <w:sz w:val="20"/>
                <w:szCs w:val="20"/>
              </w:rPr>
            </w:pPr>
            <w:r>
              <w:rPr>
                <w:rFonts w:hint="eastAsia" w:ascii="仿宋_GB2312" w:hAnsi="Times New Roman" w:eastAsia="仿宋_GB2312"/>
                <w:kern w:val="0"/>
                <w:sz w:val="20"/>
                <w:szCs w:val="20"/>
              </w:rPr>
              <w:t>单位：元</w:t>
            </w:r>
          </w:p>
        </w:tc>
      </w:tr>
      <w:tr>
        <w:tblPrEx>
          <w:tblLayout w:type="fixed"/>
          <w:tblCellMar>
            <w:top w:w="0" w:type="dxa"/>
            <w:left w:w="108" w:type="dxa"/>
            <w:bottom w:w="0" w:type="dxa"/>
            <w:right w:w="108" w:type="dxa"/>
          </w:tblCellMar>
        </w:tblPrEx>
        <w:trPr>
          <w:trHeight w:val="1132" w:hRule="atLeast"/>
        </w:trPr>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序号</w:t>
            </w:r>
          </w:p>
        </w:tc>
        <w:tc>
          <w:tcPr>
            <w:tcW w:w="15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参保地</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姓名</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身份</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证号</w:t>
            </w:r>
          </w:p>
        </w:tc>
        <w:tc>
          <w:tcPr>
            <w:tcW w:w="108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就医</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类别</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入院</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日期</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出院</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日期</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就医结算日期</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费用</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总额</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基金支付总额</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自付</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金额</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扣款</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金额</w:t>
            </w:r>
          </w:p>
        </w:tc>
        <w:tc>
          <w:tcPr>
            <w:tcW w:w="108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基金结算金额</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154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2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color w:val="000000"/>
                <w:kern w:val="0"/>
                <w:sz w:val="22"/>
                <w:szCs w:val="22"/>
              </w:rPr>
            </w:pPr>
          </w:p>
        </w:tc>
        <w:tc>
          <w:tcPr>
            <w:tcW w:w="10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54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2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color w:val="000000"/>
                <w:kern w:val="0"/>
                <w:sz w:val="22"/>
                <w:szCs w:val="22"/>
              </w:rPr>
            </w:pPr>
          </w:p>
        </w:tc>
        <w:tc>
          <w:tcPr>
            <w:tcW w:w="10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154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2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color w:val="000000"/>
                <w:kern w:val="0"/>
                <w:sz w:val="22"/>
                <w:szCs w:val="22"/>
              </w:rPr>
            </w:pPr>
          </w:p>
        </w:tc>
        <w:tc>
          <w:tcPr>
            <w:tcW w:w="10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080" w:type="dxa"/>
            <w:tcBorders>
              <w:top w:val="nil"/>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154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62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color w:val="000000"/>
                <w:kern w:val="0"/>
                <w:sz w:val="22"/>
                <w:szCs w:val="22"/>
              </w:rPr>
            </w:pPr>
          </w:p>
        </w:tc>
        <w:tc>
          <w:tcPr>
            <w:tcW w:w="1080" w:type="dxa"/>
            <w:tcBorders>
              <w:top w:val="nil"/>
              <w:left w:val="single" w:color="auto" w:sz="4" w:space="0"/>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9640"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1080"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270" w:hRule="atLeast"/>
        </w:trPr>
        <w:tc>
          <w:tcPr>
            <w:tcW w:w="108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受理：</w:t>
            </w:r>
          </w:p>
        </w:tc>
        <w:tc>
          <w:tcPr>
            <w:tcW w:w="154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620"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w:t>
            </w:r>
          </w:p>
        </w:tc>
        <w:tc>
          <w:tcPr>
            <w:tcW w:w="1080" w:type="dxa"/>
            <w:tcBorders>
              <w:top w:val="nil"/>
              <w:left w:val="nil"/>
              <w:bottom w:val="nil"/>
              <w:right w:val="nil"/>
            </w:tcBorders>
            <w:vAlign w:val="bottom"/>
          </w:tcPr>
          <w:p>
            <w:pPr>
              <w:widowControl/>
              <w:jc w:val="center"/>
              <w:rPr>
                <w:rFonts w:ascii="仿宋_GB2312" w:hAnsi="宋体" w:eastAsia="仿宋_GB2312" w:cs="宋体"/>
                <w:color w:val="000000"/>
                <w:kern w:val="0"/>
                <w:sz w:val="22"/>
                <w:szCs w:val="22"/>
              </w:rPr>
            </w:pPr>
          </w:p>
        </w:tc>
        <w:tc>
          <w:tcPr>
            <w:tcW w:w="1080" w:type="dxa"/>
            <w:tcBorders>
              <w:top w:val="nil"/>
              <w:left w:val="nil"/>
              <w:bottom w:val="nil"/>
              <w:right w:val="nil"/>
            </w:tcBorders>
            <w:vAlign w:val="bottom"/>
          </w:tcPr>
          <w:p>
            <w:pPr>
              <w:widowControl/>
              <w:jc w:val="center"/>
              <w:rPr>
                <w:rFonts w:ascii="仿宋_GB2312" w:hAnsi="宋体" w:eastAsia="仿宋_GB2312" w:cs="宋体"/>
                <w:color w:val="000000"/>
                <w:kern w:val="0"/>
                <w:sz w:val="22"/>
                <w:szCs w:val="22"/>
              </w:rPr>
            </w:pPr>
          </w:p>
        </w:tc>
        <w:tc>
          <w:tcPr>
            <w:tcW w:w="10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080" w:type="dxa"/>
            <w:tcBorders>
              <w:top w:val="nil"/>
              <w:left w:val="nil"/>
              <w:bottom w:val="nil"/>
              <w:right w:val="nil"/>
            </w:tcBorders>
            <w:vAlign w:val="center"/>
          </w:tcPr>
          <w:p>
            <w:pPr>
              <w:widowControl/>
              <w:jc w:val="left"/>
              <w:rPr>
                <w:rFonts w:ascii="仿宋_GB2312" w:hAnsi="Times New Roman" w:eastAsia="仿宋_GB2312"/>
                <w:kern w:val="0"/>
                <w:sz w:val="20"/>
                <w:szCs w:val="20"/>
              </w:rPr>
            </w:pPr>
            <w:r>
              <w:rPr>
                <w:rFonts w:hint="eastAsia" w:ascii="仿宋_GB2312" w:hAnsi="宋体" w:eastAsia="仿宋_GB2312" w:cs="宋体"/>
                <w:color w:val="000000"/>
                <w:kern w:val="0"/>
                <w:sz w:val="22"/>
                <w:szCs w:val="22"/>
              </w:rPr>
              <w:t>决定：</w:t>
            </w:r>
          </w:p>
        </w:tc>
        <w:tc>
          <w:tcPr>
            <w:tcW w:w="1080" w:type="dxa"/>
            <w:tcBorders>
              <w:top w:val="nil"/>
              <w:left w:val="nil"/>
              <w:bottom w:val="nil"/>
              <w:right w:val="nil"/>
            </w:tcBorders>
          </w:tcPr>
          <w:p>
            <w:pPr>
              <w:widowControl/>
              <w:jc w:val="center"/>
              <w:rPr>
                <w:rFonts w:ascii="仿宋_GB2312" w:hAnsi="宋体" w:eastAsia="仿宋_GB2312" w:cs="宋体"/>
                <w:color w:val="000000"/>
                <w:kern w:val="0"/>
                <w:sz w:val="22"/>
                <w:szCs w:val="22"/>
              </w:rPr>
            </w:pPr>
          </w:p>
        </w:tc>
        <w:tc>
          <w:tcPr>
            <w:tcW w:w="1080" w:type="dxa"/>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1080" w:type="dxa"/>
            <w:tcBorders>
              <w:top w:val="nil"/>
              <w:left w:val="nil"/>
              <w:bottom w:val="nil"/>
              <w:right w:val="nil"/>
            </w:tcBorders>
            <w:vAlign w:val="bottom"/>
          </w:tcPr>
          <w:p>
            <w:pPr>
              <w:widowControl/>
              <w:jc w:val="center"/>
              <w:rPr>
                <w:rFonts w:ascii="仿宋_GB2312" w:hAnsi="宋体" w:eastAsia="仿宋_GB2312" w:cs="宋体"/>
                <w:color w:val="000000"/>
                <w:kern w:val="0"/>
                <w:sz w:val="22"/>
                <w:szCs w:val="22"/>
              </w:rPr>
            </w:pPr>
          </w:p>
        </w:tc>
        <w:tc>
          <w:tcPr>
            <w:tcW w:w="2160"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机构签章：</w:t>
            </w:r>
          </w:p>
        </w:tc>
        <w:tc>
          <w:tcPr>
            <w:tcW w:w="108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r>
    </w:tbl>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附件10</w:t>
      </w:r>
    </w:p>
    <w:tbl>
      <w:tblPr>
        <w:tblStyle w:val="24"/>
        <w:tblW w:w="13355" w:type="dxa"/>
        <w:jc w:val="center"/>
        <w:tblInd w:w="0" w:type="dxa"/>
        <w:tblLayout w:type="fixed"/>
        <w:tblCellMar>
          <w:top w:w="0" w:type="dxa"/>
          <w:left w:w="108" w:type="dxa"/>
          <w:bottom w:w="0" w:type="dxa"/>
          <w:right w:w="108" w:type="dxa"/>
        </w:tblCellMar>
      </w:tblPr>
      <w:tblGrid>
        <w:gridCol w:w="820"/>
        <w:gridCol w:w="1280"/>
        <w:gridCol w:w="1280"/>
        <w:gridCol w:w="1280"/>
        <w:gridCol w:w="1205"/>
        <w:gridCol w:w="1480"/>
        <w:gridCol w:w="920"/>
        <w:gridCol w:w="81"/>
        <w:gridCol w:w="1002"/>
        <w:gridCol w:w="150"/>
        <w:gridCol w:w="852"/>
        <w:gridCol w:w="115"/>
        <w:gridCol w:w="886"/>
        <w:gridCol w:w="90"/>
        <w:gridCol w:w="608"/>
        <w:gridCol w:w="304"/>
        <w:gridCol w:w="1002"/>
      </w:tblGrid>
      <w:tr>
        <w:tblPrEx>
          <w:tblLayout w:type="fixed"/>
          <w:tblCellMar>
            <w:top w:w="0" w:type="dxa"/>
            <w:left w:w="108" w:type="dxa"/>
            <w:bottom w:w="0" w:type="dxa"/>
            <w:right w:w="108" w:type="dxa"/>
          </w:tblCellMar>
        </w:tblPrEx>
        <w:trPr>
          <w:trHeight w:val="540" w:hRule="atLeast"/>
          <w:jc w:val="center"/>
        </w:trPr>
        <w:tc>
          <w:tcPr>
            <w:tcW w:w="13355" w:type="dxa"/>
            <w:gridSpan w:val="17"/>
            <w:tcBorders>
              <w:top w:val="nil"/>
              <w:left w:val="nil"/>
              <w:bottom w:val="nil"/>
              <w:right w:val="nil"/>
            </w:tcBorders>
            <w:vAlign w:val="center"/>
          </w:tcPr>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异地工伤保险费用清算表</w:t>
            </w:r>
          </w:p>
          <w:p>
            <w:pPr>
              <w:widowControl/>
              <w:jc w:val="center"/>
              <w:rPr>
                <w:rFonts w:ascii="仿宋_GB2312" w:hAnsi="宋体" w:eastAsia="仿宋_GB2312" w:cs="宋体"/>
                <w:b/>
                <w:bCs/>
                <w:color w:val="000000"/>
                <w:kern w:val="0"/>
                <w:sz w:val="32"/>
                <w:szCs w:val="32"/>
              </w:rPr>
            </w:pPr>
          </w:p>
        </w:tc>
      </w:tr>
      <w:tr>
        <w:tblPrEx>
          <w:tblLayout w:type="fixed"/>
          <w:tblCellMar>
            <w:top w:w="0" w:type="dxa"/>
            <w:left w:w="108" w:type="dxa"/>
            <w:bottom w:w="0" w:type="dxa"/>
            <w:right w:w="108" w:type="dxa"/>
          </w:tblCellMar>
        </w:tblPrEx>
        <w:trPr>
          <w:trHeight w:val="270" w:hRule="atLeast"/>
          <w:jc w:val="center"/>
        </w:trPr>
        <w:tc>
          <w:tcPr>
            <w:tcW w:w="820" w:type="dxa"/>
            <w:tcBorders>
              <w:top w:val="nil"/>
              <w:left w:val="nil"/>
              <w:bottom w:val="nil"/>
              <w:right w:val="nil"/>
            </w:tcBorders>
            <w:vAlign w:val="bottom"/>
          </w:tcPr>
          <w:p>
            <w:pPr>
              <w:widowControl/>
              <w:jc w:val="center"/>
              <w:rPr>
                <w:rFonts w:ascii="仿宋_GB2312" w:hAnsi="宋体" w:eastAsia="仿宋_GB2312" w:cs="宋体"/>
                <w:b/>
                <w:bCs/>
                <w:color w:val="000000"/>
                <w:kern w:val="0"/>
                <w:sz w:val="32"/>
                <w:szCs w:val="32"/>
              </w:rPr>
            </w:pPr>
          </w:p>
        </w:tc>
        <w:tc>
          <w:tcPr>
            <w:tcW w:w="12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2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2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205"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4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92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233" w:type="dxa"/>
            <w:gridSpan w:val="3"/>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967"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976"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608"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306"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r>
      <w:tr>
        <w:tblPrEx>
          <w:tblLayout w:type="fixed"/>
          <w:tblCellMar>
            <w:top w:w="0" w:type="dxa"/>
            <w:left w:w="108" w:type="dxa"/>
            <w:bottom w:w="0" w:type="dxa"/>
            <w:right w:w="108" w:type="dxa"/>
          </w:tblCellMar>
        </w:tblPrEx>
        <w:trPr>
          <w:trHeight w:val="585" w:hRule="atLeast"/>
          <w:jc w:val="center"/>
        </w:trPr>
        <w:tc>
          <w:tcPr>
            <w:tcW w:w="2100"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应收机构名称：</w:t>
            </w:r>
          </w:p>
        </w:tc>
        <w:tc>
          <w:tcPr>
            <w:tcW w:w="1280"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280" w:type="dxa"/>
            <w:tcBorders>
              <w:top w:val="nil"/>
              <w:left w:val="nil"/>
              <w:bottom w:val="nil"/>
              <w:right w:val="nil"/>
            </w:tcBorders>
            <w:vAlign w:val="center"/>
          </w:tcPr>
          <w:p>
            <w:pPr>
              <w:widowControl/>
              <w:jc w:val="left"/>
              <w:rPr>
                <w:rFonts w:ascii="仿宋_GB2312" w:hAnsi="Times New Roman" w:eastAsia="仿宋_GB2312"/>
                <w:kern w:val="0"/>
                <w:sz w:val="20"/>
                <w:szCs w:val="20"/>
              </w:rPr>
            </w:pPr>
          </w:p>
        </w:tc>
        <w:tc>
          <w:tcPr>
            <w:tcW w:w="2685"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应收机构编码：</w:t>
            </w:r>
          </w:p>
        </w:tc>
        <w:tc>
          <w:tcPr>
            <w:tcW w:w="920"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2200" w:type="dxa"/>
            <w:gridSpan w:val="5"/>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清算批次：</w:t>
            </w:r>
          </w:p>
        </w:tc>
        <w:tc>
          <w:tcPr>
            <w:tcW w:w="1584" w:type="dxa"/>
            <w:gridSpan w:val="3"/>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生成日期：</w:t>
            </w:r>
          </w:p>
        </w:tc>
        <w:tc>
          <w:tcPr>
            <w:tcW w:w="1306"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单位：元</w:t>
            </w:r>
          </w:p>
        </w:tc>
      </w:tr>
      <w:tr>
        <w:tblPrEx>
          <w:tblLayout w:type="fixed"/>
          <w:tblCellMar>
            <w:top w:w="0" w:type="dxa"/>
            <w:left w:w="108" w:type="dxa"/>
            <w:bottom w:w="0" w:type="dxa"/>
            <w:right w:w="108" w:type="dxa"/>
          </w:tblCellMar>
        </w:tblPrEx>
        <w:trPr>
          <w:trHeight w:val="630" w:hRule="atLeast"/>
          <w:jc w:val="center"/>
        </w:trPr>
        <w:tc>
          <w:tcPr>
            <w:tcW w:w="820" w:type="dxa"/>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序号</w:t>
            </w:r>
          </w:p>
        </w:tc>
        <w:tc>
          <w:tcPr>
            <w:tcW w:w="1280" w:type="dxa"/>
            <w:tcBorders>
              <w:top w:val="single" w:color="auto" w:sz="4" w:space="0"/>
              <w:left w:val="nil"/>
              <w:bottom w:val="nil"/>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协议机构名称</w:t>
            </w:r>
          </w:p>
        </w:tc>
        <w:tc>
          <w:tcPr>
            <w:tcW w:w="1280" w:type="dxa"/>
            <w:tcBorders>
              <w:top w:val="single" w:color="auto" w:sz="4" w:space="0"/>
              <w:left w:val="nil"/>
              <w:bottom w:val="nil"/>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参保地</w:t>
            </w:r>
          </w:p>
        </w:tc>
        <w:tc>
          <w:tcPr>
            <w:tcW w:w="1280" w:type="dxa"/>
            <w:tcBorders>
              <w:top w:val="single" w:color="auto" w:sz="4" w:space="0"/>
              <w:left w:val="nil"/>
              <w:bottom w:val="nil"/>
              <w:right w:val="single" w:color="auto" w:sz="4" w:space="0"/>
            </w:tcBorders>
            <w:vAlign w:val="center"/>
          </w:tcPr>
          <w:p>
            <w:pPr>
              <w:widowControl/>
              <w:jc w:val="center"/>
              <w:rPr>
                <w:rFonts w:ascii="仿宋_GB2312" w:hAnsi="宋体" w:eastAsia="仿宋_GB2312" w:cs="宋体"/>
                <w:bCs/>
                <w:kern w:val="0"/>
                <w:sz w:val="22"/>
                <w:szCs w:val="22"/>
              </w:rPr>
            </w:pPr>
            <w:r>
              <w:rPr>
                <w:rFonts w:hint="eastAsia" w:ascii="仿宋_GB2312" w:hAnsi="宋体" w:eastAsia="仿宋_GB2312" w:cs="宋体"/>
                <w:bCs/>
                <w:kern w:val="0"/>
                <w:sz w:val="22"/>
                <w:szCs w:val="22"/>
              </w:rPr>
              <w:t>就医地</w:t>
            </w:r>
          </w:p>
        </w:tc>
        <w:tc>
          <w:tcPr>
            <w:tcW w:w="1205" w:type="dxa"/>
            <w:tcBorders>
              <w:top w:val="single" w:color="auto" w:sz="4" w:space="0"/>
              <w:left w:val="nil"/>
              <w:bottom w:val="nil"/>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结算批次</w:t>
            </w:r>
          </w:p>
        </w:tc>
        <w:tc>
          <w:tcPr>
            <w:tcW w:w="14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就医类别</w:t>
            </w:r>
          </w:p>
        </w:tc>
        <w:tc>
          <w:tcPr>
            <w:tcW w:w="100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人次</w:t>
            </w:r>
          </w:p>
        </w:tc>
        <w:tc>
          <w:tcPr>
            <w:tcW w:w="100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费用总额</w:t>
            </w:r>
          </w:p>
        </w:tc>
        <w:tc>
          <w:tcPr>
            <w:tcW w:w="1002"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基金支付总额</w:t>
            </w:r>
          </w:p>
        </w:tc>
        <w:tc>
          <w:tcPr>
            <w:tcW w:w="1001"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自付</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金额</w:t>
            </w:r>
          </w:p>
        </w:tc>
        <w:tc>
          <w:tcPr>
            <w:tcW w:w="1002"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扣款</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金额</w:t>
            </w:r>
          </w:p>
        </w:tc>
        <w:tc>
          <w:tcPr>
            <w:tcW w:w="100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基金结算金额</w:t>
            </w:r>
          </w:p>
        </w:tc>
      </w:tr>
      <w:tr>
        <w:tblPrEx>
          <w:tblLayout w:type="fixed"/>
          <w:tblCellMar>
            <w:top w:w="0" w:type="dxa"/>
            <w:left w:w="108" w:type="dxa"/>
            <w:bottom w:w="0" w:type="dxa"/>
            <w:right w:w="108" w:type="dxa"/>
          </w:tblCellMar>
        </w:tblPrEx>
        <w:trPr>
          <w:trHeight w:val="454" w:hRule="atLeast"/>
          <w:jc w:val="center"/>
        </w:trPr>
        <w:tc>
          <w:tcPr>
            <w:tcW w:w="8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12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80"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0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8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1"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1"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gridSpan w:val="3"/>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12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8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1"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1"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gridSpan w:val="3"/>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12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80"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1"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1"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gridSpan w:val="3"/>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jc w:val="center"/>
        </w:trPr>
        <w:tc>
          <w:tcPr>
            <w:tcW w:w="820"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12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205"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480"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1"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1"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gridSpan w:val="3"/>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100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jc w:val="center"/>
        </w:trPr>
        <w:tc>
          <w:tcPr>
            <w:tcW w:w="7345" w:type="dxa"/>
            <w:gridSpan w:val="6"/>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1001"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100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1002"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1001"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1002" w:type="dxa"/>
            <w:gridSpan w:val="3"/>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c>
          <w:tcPr>
            <w:tcW w:w="1002"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270" w:hRule="atLeast"/>
          <w:jc w:val="center"/>
        </w:trPr>
        <w:tc>
          <w:tcPr>
            <w:tcW w:w="820" w:type="dxa"/>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受理：</w:t>
            </w:r>
          </w:p>
        </w:tc>
        <w:tc>
          <w:tcPr>
            <w:tcW w:w="1280" w:type="dxa"/>
            <w:tcBorders>
              <w:top w:val="nil"/>
              <w:left w:val="nil"/>
              <w:bottom w:val="nil"/>
              <w:right w:val="nil"/>
            </w:tcBorders>
            <w:vAlign w:val="bottom"/>
          </w:tcPr>
          <w:p>
            <w:pPr>
              <w:widowControl/>
              <w:jc w:val="center"/>
              <w:rPr>
                <w:rFonts w:ascii="仿宋_GB2312" w:hAnsi="宋体" w:eastAsia="仿宋_GB2312" w:cs="宋体"/>
                <w:color w:val="000000"/>
                <w:kern w:val="0"/>
                <w:sz w:val="22"/>
                <w:szCs w:val="22"/>
              </w:rPr>
            </w:pPr>
          </w:p>
        </w:tc>
        <w:tc>
          <w:tcPr>
            <w:tcW w:w="1280" w:type="dxa"/>
            <w:tcBorders>
              <w:top w:val="nil"/>
              <w:left w:val="nil"/>
              <w:bottom w:val="nil"/>
              <w:right w:val="nil"/>
            </w:tcBorders>
            <w:vAlign w:val="bottom"/>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w:t>
            </w:r>
          </w:p>
        </w:tc>
        <w:tc>
          <w:tcPr>
            <w:tcW w:w="128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205"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决定:</w:t>
            </w:r>
          </w:p>
        </w:tc>
        <w:tc>
          <w:tcPr>
            <w:tcW w:w="148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92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233" w:type="dxa"/>
            <w:gridSpan w:val="3"/>
            <w:tcBorders>
              <w:top w:val="nil"/>
              <w:left w:val="nil"/>
              <w:bottom w:val="nil"/>
              <w:right w:val="nil"/>
            </w:tcBorders>
            <w:vAlign w:val="bottom"/>
          </w:tcPr>
          <w:p>
            <w:pPr>
              <w:widowControl/>
              <w:jc w:val="left"/>
              <w:rPr>
                <w:rFonts w:ascii="仿宋_GB2312" w:hAnsi="Times New Roman" w:eastAsia="仿宋_GB2312"/>
                <w:kern w:val="0"/>
                <w:sz w:val="20"/>
                <w:szCs w:val="20"/>
              </w:rPr>
            </w:pPr>
            <w:r>
              <w:rPr>
                <w:rFonts w:hint="eastAsia" w:ascii="仿宋_GB2312" w:hAnsi="宋体" w:eastAsia="仿宋_GB2312" w:cs="宋体"/>
                <w:color w:val="000000"/>
                <w:kern w:val="0"/>
                <w:sz w:val="22"/>
                <w:szCs w:val="22"/>
              </w:rPr>
              <w:t>机构签章：</w:t>
            </w:r>
          </w:p>
        </w:tc>
        <w:tc>
          <w:tcPr>
            <w:tcW w:w="967"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2890" w:type="dxa"/>
            <w:gridSpan w:val="5"/>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（应付经办机构签章）</w:t>
            </w:r>
          </w:p>
        </w:tc>
      </w:tr>
      <w:tr>
        <w:tblPrEx>
          <w:tblLayout w:type="fixed"/>
          <w:tblCellMar>
            <w:top w:w="0" w:type="dxa"/>
            <w:left w:w="108" w:type="dxa"/>
            <w:bottom w:w="0" w:type="dxa"/>
            <w:right w:w="108" w:type="dxa"/>
          </w:tblCellMar>
        </w:tblPrEx>
        <w:trPr>
          <w:trHeight w:val="270" w:hRule="atLeast"/>
          <w:jc w:val="center"/>
        </w:trPr>
        <w:tc>
          <w:tcPr>
            <w:tcW w:w="820"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280" w:type="dxa"/>
            <w:tcBorders>
              <w:top w:val="nil"/>
              <w:left w:val="nil"/>
              <w:bottom w:val="nil"/>
              <w:right w:val="nil"/>
            </w:tcBorders>
            <w:vAlign w:val="center"/>
          </w:tcPr>
          <w:p>
            <w:pPr>
              <w:widowControl/>
              <w:jc w:val="left"/>
              <w:rPr>
                <w:rFonts w:ascii="仿宋_GB2312" w:hAnsi="Times New Roman" w:eastAsia="仿宋_GB2312"/>
                <w:kern w:val="0"/>
                <w:sz w:val="20"/>
                <w:szCs w:val="20"/>
              </w:rPr>
            </w:pPr>
          </w:p>
        </w:tc>
        <w:tc>
          <w:tcPr>
            <w:tcW w:w="1280" w:type="dxa"/>
            <w:tcBorders>
              <w:top w:val="nil"/>
              <w:left w:val="nil"/>
              <w:bottom w:val="nil"/>
              <w:right w:val="nil"/>
            </w:tcBorders>
            <w:vAlign w:val="bottom"/>
          </w:tcPr>
          <w:p>
            <w:pPr>
              <w:widowControl/>
              <w:jc w:val="center"/>
              <w:rPr>
                <w:rFonts w:ascii="仿宋_GB2312" w:hAnsi="Times New Roman" w:eastAsia="仿宋_GB2312"/>
                <w:kern w:val="0"/>
                <w:sz w:val="20"/>
                <w:szCs w:val="20"/>
              </w:rPr>
            </w:pPr>
          </w:p>
        </w:tc>
        <w:tc>
          <w:tcPr>
            <w:tcW w:w="12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205"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48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920" w:type="dxa"/>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5090" w:type="dxa"/>
            <w:gridSpan w:val="10"/>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r>
    </w:tbl>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rPr>
          <w:rFonts w:ascii="仿宋_GB2312" w:eastAsia="仿宋_GB2312"/>
          <w:color w:val="000000"/>
        </w:rPr>
      </w:pP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附件11</w:t>
      </w:r>
    </w:p>
    <w:tbl>
      <w:tblPr>
        <w:tblStyle w:val="24"/>
        <w:tblW w:w="15155" w:type="dxa"/>
        <w:tblInd w:w="0" w:type="dxa"/>
        <w:tblLayout w:type="fixed"/>
        <w:tblCellMar>
          <w:top w:w="0" w:type="dxa"/>
          <w:left w:w="108" w:type="dxa"/>
          <w:bottom w:w="0" w:type="dxa"/>
          <w:right w:w="108" w:type="dxa"/>
        </w:tblCellMar>
      </w:tblPr>
      <w:tblGrid>
        <w:gridCol w:w="876"/>
        <w:gridCol w:w="71"/>
        <w:gridCol w:w="947"/>
        <w:gridCol w:w="129"/>
        <w:gridCol w:w="818"/>
        <w:gridCol w:w="329"/>
        <w:gridCol w:w="618"/>
        <w:gridCol w:w="529"/>
        <w:gridCol w:w="418"/>
        <w:gridCol w:w="729"/>
        <w:gridCol w:w="219"/>
        <w:gridCol w:w="466"/>
        <w:gridCol w:w="481"/>
        <w:gridCol w:w="500"/>
        <w:gridCol w:w="447"/>
        <w:gridCol w:w="387"/>
        <w:gridCol w:w="560"/>
        <w:gridCol w:w="722"/>
        <w:gridCol w:w="225"/>
        <w:gridCol w:w="592"/>
        <w:gridCol w:w="356"/>
        <w:gridCol w:w="461"/>
        <w:gridCol w:w="486"/>
        <w:gridCol w:w="331"/>
        <w:gridCol w:w="616"/>
        <w:gridCol w:w="201"/>
        <w:gridCol w:w="746"/>
        <w:gridCol w:w="71"/>
        <w:gridCol w:w="634"/>
        <w:gridCol w:w="242"/>
        <w:gridCol w:w="948"/>
      </w:tblGrid>
      <w:tr>
        <w:tblPrEx>
          <w:tblLayout w:type="fixed"/>
          <w:tblCellMar>
            <w:top w:w="0" w:type="dxa"/>
            <w:left w:w="108" w:type="dxa"/>
            <w:bottom w:w="0" w:type="dxa"/>
            <w:right w:w="108" w:type="dxa"/>
          </w:tblCellMar>
        </w:tblPrEx>
        <w:trPr>
          <w:trHeight w:val="405" w:hRule="atLeast"/>
        </w:trPr>
        <w:tc>
          <w:tcPr>
            <w:tcW w:w="15155" w:type="dxa"/>
            <w:gridSpan w:val="31"/>
            <w:tcBorders>
              <w:top w:val="nil"/>
              <w:left w:val="nil"/>
              <w:bottom w:val="nil"/>
              <w:right w:val="nil"/>
            </w:tcBorders>
            <w:vAlign w:val="center"/>
          </w:tcPr>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异地工伤保险费用清算明细表</w:t>
            </w:r>
          </w:p>
          <w:p>
            <w:pPr>
              <w:pStyle w:val="11"/>
              <w:spacing w:line="480" w:lineRule="exact"/>
              <w:jc w:val="center"/>
              <w:rPr>
                <w:rFonts w:ascii="方正小标宋简体" w:hAnsi="方正小标宋简体" w:eastAsia="方正小标宋简体" w:cs="方正小标宋简体"/>
                <w:bCs/>
                <w:color w:val="000000"/>
                <w:sz w:val="36"/>
              </w:rPr>
            </w:pPr>
          </w:p>
        </w:tc>
      </w:tr>
      <w:tr>
        <w:tblPrEx>
          <w:tblLayout w:type="fixed"/>
          <w:tblCellMar>
            <w:top w:w="0" w:type="dxa"/>
            <w:left w:w="108" w:type="dxa"/>
            <w:bottom w:w="0" w:type="dxa"/>
            <w:right w:w="108" w:type="dxa"/>
          </w:tblCellMar>
        </w:tblPrEx>
        <w:trPr>
          <w:trHeight w:val="585" w:hRule="atLeast"/>
        </w:trPr>
        <w:tc>
          <w:tcPr>
            <w:tcW w:w="2023"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应收机构名称：</w:t>
            </w:r>
          </w:p>
        </w:tc>
        <w:tc>
          <w:tcPr>
            <w:tcW w:w="1147"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1147" w:type="dxa"/>
            <w:gridSpan w:val="2"/>
            <w:tcBorders>
              <w:top w:val="nil"/>
              <w:left w:val="nil"/>
              <w:bottom w:val="nil"/>
              <w:right w:val="nil"/>
            </w:tcBorders>
            <w:vAlign w:val="center"/>
          </w:tcPr>
          <w:p>
            <w:pPr>
              <w:widowControl/>
              <w:jc w:val="left"/>
              <w:rPr>
                <w:rFonts w:ascii="仿宋_GB2312" w:hAnsi="Times New Roman" w:eastAsia="仿宋_GB2312"/>
                <w:kern w:val="0"/>
                <w:sz w:val="20"/>
                <w:szCs w:val="20"/>
              </w:rPr>
            </w:pPr>
          </w:p>
        </w:tc>
        <w:tc>
          <w:tcPr>
            <w:tcW w:w="1832"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应收机构编码：</w:t>
            </w:r>
          </w:p>
        </w:tc>
        <w:tc>
          <w:tcPr>
            <w:tcW w:w="981"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2116"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清算批次：</w:t>
            </w:r>
          </w:p>
        </w:tc>
        <w:tc>
          <w:tcPr>
            <w:tcW w:w="817" w:type="dxa"/>
            <w:gridSpan w:val="2"/>
            <w:tcBorders>
              <w:top w:val="nil"/>
              <w:left w:val="nil"/>
              <w:bottom w:val="nil"/>
              <w:right w:val="nil"/>
            </w:tcBorders>
          </w:tcPr>
          <w:p>
            <w:pPr>
              <w:widowControl/>
              <w:jc w:val="left"/>
              <w:rPr>
                <w:rFonts w:ascii="仿宋_GB2312" w:hAnsi="宋体" w:eastAsia="仿宋_GB2312" w:cs="宋体"/>
                <w:color w:val="000000"/>
                <w:kern w:val="0"/>
                <w:sz w:val="22"/>
                <w:szCs w:val="22"/>
              </w:rPr>
            </w:pPr>
          </w:p>
        </w:tc>
        <w:tc>
          <w:tcPr>
            <w:tcW w:w="1634" w:type="dxa"/>
            <w:gridSpan w:val="4"/>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生成日期：</w:t>
            </w:r>
          </w:p>
        </w:tc>
        <w:tc>
          <w:tcPr>
            <w:tcW w:w="817" w:type="dxa"/>
            <w:gridSpan w:val="2"/>
            <w:tcBorders>
              <w:top w:val="nil"/>
              <w:left w:val="nil"/>
              <w:bottom w:val="nil"/>
              <w:right w:val="nil"/>
            </w:tcBorders>
            <w:vAlign w:val="center"/>
          </w:tcPr>
          <w:p>
            <w:pPr>
              <w:widowControl/>
              <w:jc w:val="left"/>
              <w:rPr>
                <w:rFonts w:ascii="仿宋_GB2312" w:hAnsi="宋体" w:eastAsia="仿宋_GB2312" w:cs="宋体"/>
                <w:color w:val="000000"/>
                <w:kern w:val="0"/>
                <w:sz w:val="22"/>
                <w:szCs w:val="22"/>
              </w:rPr>
            </w:pPr>
          </w:p>
        </w:tc>
        <w:tc>
          <w:tcPr>
            <w:tcW w:w="817" w:type="dxa"/>
            <w:gridSpan w:val="2"/>
            <w:tcBorders>
              <w:top w:val="nil"/>
              <w:left w:val="nil"/>
              <w:bottom w:val="nil"/>
              <w:right w:val="nil"/>
            </w:tcBorders>
            <w:vAlign w:val="center"/>
          </w:tcPr>
          <w:p>
            <w:pPr>
              <w:widowControl/>
              <w:jc w:val="left"/>
              <w:rPr>
                <w:rFonts w:ascii="仿宋_GB2312" w:hAnsi="Times New Roman" w:eastAsia="仿宋_GB2312"/>
                <w:kern w:val="0"/>
                <w:sz w:val="20"/>
                <w:szCs w:val="20"/>
              </w:rPr>
            </w:pPr>
          </w:p>
        </w:tc>
        <w:tc>
          <w:tcPr>
            <w:tcW w:w="634" w:type="dxa"/>
            <w:tcBorders>
              <w:top w:val="nil"/>
              <w:left w:val="nil"/>
              <w:bottom w:val="nil"/>
              <w:right w:val="nil"/>
            </w:tcBorders>
            <w:vAlign w:val="center"/>
          </w:tcPr>
          <w:p>
            <w:pPr>
              <w:widowControl/>
              <w:jc w:val="left"/>
              <w:rPr>
                <w:rFonts w:ascii="仿宋_GB2312" w:hAnsi="Times New Roman" w:eastAsia="仿宋_GB2312"/>
                <w:kern w:val="0"/>
                <w:sz w:val="20"/>
                <w:szCs w:val="20"/>
              </w:rPr>
            </w:pPr>
          </w:p>
        </w:tc>
        <w:tc>
          <w:tcPr>
            <w:tcW w:w="1190" w:type="dxa"/>
            <w:gridSpan w:val="2"/>
            <w:tcBorders>
              <w:top w:val="nil"/>
              <w:left w:val="nil"/>
              <w:bottom w:val="nil"/>
              <w:right w:val="nil"/>
            </w:tcBorders>
            <w:vAlign w:val="center"/>
          </w:tcPr>
          <w:p>
            <w:pPr>
              <w:widowControl/>
              <w:jc w:val="left"/>
              <w:rPr>
                <w:rFonts w:ascii="仿宋_GB2312" w:hAnsi="Times New Roman" w:eastAsia="仿宋_GB2312"/>
                <w:kern w:val="0"/>
                <w:sz w:val="20"/>
                <w:szCs w:val="20"/>
              </w:rPr>
            </w:pPr>
            <w:r>
              <w:rPr>
                <w:rFonts w:hint="eastAsia" w:ascii="仿宋_GB2312" w:hAnsi="Times New Roman" w:eastAsia="仿宋_GB2312"/>
                <w:kern w:val="0"/>
                <w:sz w:val="20"/>
                <w:szCs w:val="20"/>
              </w:rPr>
              <w:t>单位：元</w:t>
            </w:r>
          </w:p>
        </w:tc>
      </w:tr>
      <w:tr>
        <w:tblPrEx>
          <w:tblLayout w:type="fixed"/>
          <w:tblCellMar>
            <w:top w:w="0" w:type="dxa"/>
            <w:left w:w="108" w:type="dxa"/>
            <w:bottom w:w="0" w:type="dxa"/>
            <w:right w:w="108" w:type="dxa"/>
          </w:tblCellMar>
        </w:tblPrEx>
        <w:trPr>
          <w:trHeight w:val="1215" w:hRule="atLeast"/>
        </w:trPr>
        <w:tc>
          <w:tcPr>
            <w:tcW w:w="947" w:type="dxa"/>
            <w:gridSpan w:val="2"/>
            <w:tcBorders>
              <w:top w:val="single" w:color="auto" w:sz="4" w:space="0"/>
              <w:left w:val="single" w:color="auto" w:sz="4" w:space="0"/>
              <w:bottom w:val="nil"/>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序号</w:t>
            </w:r>
          </w:p>
        </w:tc>
        <w:tc>
          <w:tcPr>
            <w:tcW w:w="947" w:type="dxa"/>
            <w:tcBorders>
              <w:top w:val="single" w:color="auto" w:sz="4" w:space="0"/>
              <w:left w:val="nil"/>
              <w:bottom w:val="nil"/>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协议机构名称</w:t>
            </w:r>
          </w:p>
        </w:tc>
        <w:tc>
          <w:tcPr>
            <w:tcW w:w="947" w:type="dxa"/>
            <w:gridSpan w:val="2"/>
            <w:tcBorders>
              <w:top w:val="single" w:color="auto" w:sz="4" w:space="0"/>
              <w:left w:val="nil"/>
              <w:bottom w:val="nil"/>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参保地</w:t>
            </w:r>
          </w:p>
        </w:tc>
        <w:tc>
          <w:tcPr>
            <w:tcW w:w="947" w:type="dxa"/>
            <w:gridSpan w:val="2"/>
            <w:tcBorders>
              <w:top w:val="single" w:color="auto" w:sz="4" w:space="0"/>
              <w:left w:val="nil"/>
              <w:bottom w:val="nil"/>
              <w:right w:val="single" w:color="auto" w:sz="4" w:space="0"/>
            </w:tcBorders>
            <w:vAlign w:val="center"/>
          </w:tcPr>
          <w:p>
            <w:pPr>
              <w:widowControl/>
              <w:jc w:val="center"/>
              <w:rPr>
                <w:rFonts w:ascii="仿宋_GB2312" w:hAnsi="宋体" w:eastAsia="仿宋_GB2312" w:cs="宋体"/>
                <w:bCs/>
                <w:kern w:val="0"/>
                <w:sz w:val="22"/>
                <w:szCs w:val="22"/>
              </w:rPr>
            </w:pPr>
            <w:r>
              <w:rPr>
                <w:rFonts w:hint="eastAsia" w:ascii="仿宋_GB2312" w:hAnsi="宋体" w:eastAsia="仿宋_GB2312" w:cs="宋体"/>
                <w:bCs/>
                <w:kern w:val="0"/>
                <w:sz w:val="22"/>
                <w:szCs w:val="22"/>
              </w:rPr>
              <w:t>就医地</w:t>
            </w:r>
          </w:p>
        </w:tc>
        <w:tc>
          <w:tcPr>
            <w:tcW w:w="947" w:type="dxa"/>
            <w:gridSpan w:val="2"/>
            <w:tcBorders>
              <w:top w:val="single" w:color="auto" w:sz="4" w:space="0"/>
              <w:left w:val="nil"/>
              <w:bottom w:val="nil"/>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结算</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批次</w:t>
            </w:r>
          </w:p>
        </w:tc>
        <w:tc>
          <w:tcPr>
            <w:tcW w:w="9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姓名</w:t>
            </w:r>
          </w:p>
        </w:tc>
        <w:tc>
          <w:tcPr>
            <w:tcW w:w="94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身份</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证号</w:t>
            </w:r>
          </w:p>
        </w:tc>
        <w:tc>
          <w:tcPr>
            <w:tcW w:w="94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就医</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类别</w:t>
            </w:r>
          </w:p>
        </w:tc>
        <w:tc>
          <w:tcPr>
            <w:tcW w:w="94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入院</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日期</w:t>
            </w:r>
          </w:p>
        </w:tc>
        <w:tc>
          <w:tcPr>
            <w:tcW w:w="94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出院</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日期</w:t>
            </w:r>
          </w:p>
        </w:tc>
        <w:tc>
          <w:tcPr>
            <w:tcW w:w="948"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就医结算日期</w:t>
            </w:r>
          </w:p>
        </w:tc>
        <w:tc>
          <w:tcPr>
            <w:tcW w:w="9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费用</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总额</w:t>
            </w:r>
          </w:p>
        </w:tc>
        <w:tc>
          <w:tcPr>
            <w:tcW w:w="94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基金支付总额</w:t>
            </w:r>
          </w:p>
        </w:tc>
        <w:tc>
          <w:tcPr>
            <w:tcW w:w="947"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自付</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金额</w:t>
            </w:r>
          </w:p>
        </w:tc>
        <w:tc>
          <w:tcPr>
            <w:tcW w:w="947" w:type="dxa"/>
            <w:gridSpan w:val="3"/>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扣款</w:t>
            </w:r>
          </w:p>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金额</w:t>
            </w:r>
          </w:p>
        </w:tc>
        <w:tc>
          <w:tcPr>
            <w:tcW w:w="948"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2"/>
                <w:szCs w:val="22"/>
              </w:rPr>
            </w:pPr>
            <w:r>
              <w:rPr>
                <w:rFonts w:hint="eastAsia" w:ascii="仿宋_GB2312" w:hAnsi="宋体" w:eastAsia="仿宋_GB2312" w:cs="宋体"/>
                <w:bCs/>
                <w:color w:val="000000"/>
                <w:kern w:val="0"/>
                <w:sz w:val="22"/>
                <w:szCs w:val="22"/>
              </w:rPr>
              <w:t>基金结算金额</w:t>
            </w:r>
          </w:p>
        </w:tc>
      </w:tr>
      <w:tr>
        <w:tblPrEx>
          <w:tblLayout w:type="fixed"/>
          <w:tblCellMar>
            <w:top w:w="0" w:type="dxa"/>
            <w:left w:w="108" w:type="dxa"/>
            <w:bottom w:w="0" w:type="dxa"/>
            <w:right w:w="108" w:type="dxa"/>
          </w:tblCellMar>
        </w:tblPrEx>
        <w:trPr>
          <w:trHeight w:val="454" w:hRule="atLeast"/>
        </w:trPr>
        <w:tc>
          <w:tcPr>
            <w:tcW w:w="9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1</w:t>
            </w:r>
          </w:p>
        </w:tc>
        <w:tc>
          <w:tcPr>
            <w:tcW w:w="94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947"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948" w:type="dxa"/>
            <w:gridSpan w:val="2"/>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b/>
                <w:bCs/>
                <w:color w:val="000000"/>
                <w:kern w:val="0"/>
                <w:sz w:val="22"/>
                <w:szCs w:val="22"/>
              </w:rPr>
            </w:pPr>
          </w:p>
        </w:tc>
        <w:tc>
          <w:tcPr>
            <w:tcW w:w="9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3"/>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947"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2</w:t>
            </w:r>
          </w:p>
        </w:tc>
        <w:tc>
          <w:tcPr>
            <w:tcW w:w="947"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gridSpan w:val="2"/>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b/>
                <w:bCs/>
                <w:color w:val="000000"/>
                <w:kern w:val="0"/>
                <w:sz w:val="22"/>
                <w:szCs w:val="22"/>
              </w:rPr>
            </w:pPr>
          </w:p>
        </w:tc>
        <w:tc>
          <w:tcPr>
            <w:tcW w:w="9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3"/>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947"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3</w:t>
            </w:r>
          </w:p>
        </w:tc>
        <w:tc>
          <w:tcPr>
            <w:tcW w:w="947"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gridSpan w:val="2"/>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b/>
                <w:bCs/>
                <w:color w:val="000000"/>
                <w:kern w:val="0"/>
                <w:sz w:val="22"/>
                <w:szCs w:val="22"/>
              </w:rPr>
            </w:pPr>
          </w:p>
        </w:tc>
        <w:tc>
          <w:tcPr>
            <w:tcW w:w="9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3"/>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947" w:type="dxa"/>
            <w:gridSpan w:val="2"/>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w:t>
            </w:r>
          </w:p>
        </w:tc>
        <w:tc>
          <w:tcPr>
            <w:tcW w:w="947"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gridSpan w:val="2"/>
            <w:tcBorders>
              <w:top w:val="single" w:color="auto" w:sz="4" w:space="0"/>
              <w:left w:val="nil"/>
              <w:bottom w:val="single" w:color="auto" w:sz="4" w:space="0"/>
              <w:right w:val="single" w:color="auto" w:sz="4" w:space="0"/>
            </w:tcBorders>
          </w:tcPr>
          <w:p>
            <w:pPr>
              <w:widowControl/>
              <w:jc w:val="left"/>
              <w:rPr>
                <w:rFonts w:ascii="仿宋_GB2312" w:hAnsi="宋体" w:eastAsia="仿宋_GB2312" w:cs="宋体"/>
                <w:b/>
                <w:bCs/>
                <w:color w:val="000000"/>
                <w:kern w:val="0"/>
                <w:sz w:val="22"/>
                <w:szCs w:val="22"/>
              </w:rPr>
            </w:pPr>
          </w:p>
        </w:tc>
        <w:tc>
          <w:tcPr>
            <w:tcW w:w="947"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2"/>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7" w:type="dxa"/>
            <w:gridSpan w:val="3"/>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948" w:type="dxa"/>
            <w:tcBorders>
              <w:top w:val="nil"/>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r>
      <w:tr>
        <w:tblPrEx>
          <w:tblLayout w:type="fixed"/>
          <w:tblCellMar>
            <w:top w:w="0" w:type="dxa"/>
            <w:left w:w="108" w:type="dxa"/>
            <w:bottom w:w="0" w:type="dxa"/>
            <w:right w:w="108" w:type="dxa"/>
          </w:tblCellMar>
        </w:tblPrEx>
        <w:trPr>
          <w:trHeight w:val="454" w:hRule="atLeast"/>
        </w:trPr>
        <w:tc>
          <w:tcPr>
            <w:tcW w:w="10419" w:type="dxa"/>
            <w:gridSpan w:val="21"/>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合计</w:t>
            </w:r>
          </w:p>
        </w:tc>
        <w:tc>
          <w:tcPr>
            <w:tcW w:w="9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9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94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947"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c>
          <w:tcPr>
            <w:tcW w:w="9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2"/>
                <w:szCs w:val="22"/>
              </w:rPr>
            </w:pPr>
          </w:p>
        </w:tc>
      </w:tr>
      <w:tr>
        <w:tblPrEx>
          <w:tblLayout w:type="fixed"/>
          <w:tblCellMar>
            <w:top w:w="0" w:type="dxa"/>
            <w:left w:w="108" w:type="dxa"/>
            <w:bottom w:w="0" w:type="dxa"/>
            <w:right w:w="108" w:type="dxa"/>
          </w:tblCellMar>
        </w:tblPrEx>
        <w:trPr>
          <w:trHeight w:val="270" w:hRule="atLeast"/>
        </w:trPr>
        <w:tc>
          <w:tcPr>
            <w:tcW w:w="876"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受理：</w:t>
            </w:r>
          </w:p>
        </w:tc>
        <w:tc>
          <w:tcPr>
            <w:tcW w:w="1147" w:type="dxa"/>
            <w:gridSpan w:val="3"/>
            <w:tcBorders>
              <w:top w:val="nil"/>
              <w:left w:val="nil"/>
              <w:bottom w:val="nil"/>
              <w:right w:val="nil"/>
            </w:tcBorders>
            <w:vAlign w:val="center"/>
          </w:tcPr>
          <w:p>
            <w:pPr>
              <w:widowControl/>
              <w:jc w:val="center"/>
              <w:rPr>
                <w:rFonts w:ascii="仿宋_GB2312" w:hAnsi="宋体" w:eastAsia="仿宋_GB2312" w:cs="宋体"/>
                <w:color w:val="000000"/>
                <w:kern w:val="0"/>
                <w:sz w:val="22"/>
                <w:szCs w:val="22"/>
              </w:rPr>
            </w:pPr>
          </w:p>
        </w:tc>
        <w:tc>
          <w:tcPr>
            <w:tcW w:w="1147" w:type="dxa"/>
            <w:gridSpan w:val="2"/>
            <w:tcBorders>
              <w:top w:val="nil"/>
              <w:left w:val="nil"/>
              <w:bottom w:val="nil"/>
              <w:right w:val="nil"/>
            </w:tcBorders>
            <w:vAlign w:val="bottom"/>
          </w:tcPr>
          <w:p>
            <w:pPr>
              <w:widowControl/>
              <w:jc w:val="center"/>
              <w:rPr>
                <w:rFonts w:ascii="仿宋_GB2312" w:hAnsi="宋体" w:eastAsia="仿宋_GB2312" w:cs="宋体"/>
                <w:color w:val="000000"/>
                <w:kern w:val="0"/>
                <w:sz w:val="22"/>
                <w:szCs w:val="22"/>
              </w:rPr>
            </w:pPr>
          </w:p>
        </w:tc>
        <w:tc>
          <w:tcPr>
            <w:tcW w:w="1147"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147"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审核：</w:t>
            </w:r>
          </w:p>
        </w:tc>
        <w:tc>
          <w:tcPr>
            <w:tcW w:w="685"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981"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834"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282"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决定:</w:t>
            </w:r>
          </w:p>
        </w:tc>
        <w:tc>
          <w:tcPr>
            <w:tcW w:w="817" w:type="dxa"/>
            <w:gridSpan w:val="2"/>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817" w:type="dxa"/>
            <w:gridSpan w:val="2"/>
            <w:tcBorders>
              <w:top w:val="nil"/>
              <w:left w:val="nil"/>
              <w:bottom w:val="nil"/>
              <w:right w:val="nil"/>
            </w:tcBorders>
          </w:tcPr>
          <w:p>
            <w:pPr>
              <w:widowControl/>
              <w:jc w:val="left"/>
              <w:rPr>
                <w:rFonts w:ascii="仿宋_GB2312" w:hAnsi="Times New Roman" w:eastAsia="仿宋_GB2312"/>
                <w:kern w:val="0"/>
                <w:sz w:val="20"/>
                <w:szCs w:val="20"/>
              </w:rPr>
            </w:pPr>
          </w:p>
        </w:tc>
        <w:tc>
          <w:tcPr>
            <w:tcW w:w="817"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c>
          <w:tcPr>
            <w:tcW w:w="1634" w:type="dxa"/>
            <w:gridSpan w:val="4"/>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机构签章：</w:t>
            </w:r>
          </w:p>
        </w:tc>
        <w:tc>
          <w:tcPr>
            <w:tcW w:w="634" w:type="dxa"/>
            <w:tcBorders>
              <w:top w:val="nil"/>
              <w:left w:val="nil"/>
              <w:bottom w:val="nil"/>
              <w:right w:val="nil"/>
            </w:tcBorders>
            <w:vAlign w:val="bottom"/>
          </w:tcPr>
          <w:p>
            <w:pPr>
              <w:widowControl/>
              <w:jc w:val="left"/>
              <w:rPr>
                <w:rFonts w:ascii="仿宋_GB2312" w:hAnsi="宋体" w:eastAsia="仿宋_GB2312" w:cs="宋体"/>
                <w:color w:val="000000"/>
                <w:kern w:val="0"/>
                <w:sz w:val="22"/>
                <w:szCs w:val="22"/>
              </w:rPr>
            </w:pPr>
          </w:p>
        </w:tc>
        <w:tc>
          <w:tcPr>
            <w:tcW w:w="1190" w:type="dxa"/>
            <w:gridSpan w:val="2"/>
            <w:tcBorders>
              <w:top w:val="nil"/>
              <w:left w:val="nil"/>
              <w:bottom w:val="nil"/>
              <w:right w:val="nil"/>
            </w:tcBorders>
            <w:vAlign w:val="bottom"/>
          </w:tcPr>
          <w:p>
            <w:pPr>
              <w:widowControl/>
              <w:jc w:val="left"/>
              <w:rPr>
                <w:rFonts w:ascii="仿宋_GB2312" w:hAnsi="Times New Roman" w:eastAsia="仿宋_GB2312"/>
                <w:kern w:val="0"/>
                <w:sz w:val="20"/>
                <w:szCs w:val="20"/>
              </w:rPr>
            </w:pPr>
          </w:p>
        </w:tc>
      </w:tr>
    </w:tbl>
    <w:p>
      <w:pPr>
        <w:rPr>
          <w:rFonts w:ascii="仿宋_GB2312" w:eastAsia="仿宋_GB2312"/>
          <w:color w:val="000000"/>
        </w:rPr>
      </w:pPr>
    </w:p>
    <w:p>
      <w:pPr>
        <w:pStyle w:val="61"/>
        <w:ind w:firstLine="0" w:firstLineChars="0"/>
        <w:rPr>
          <w:rFonts w:ascii="仿宋_GB2312" w:eastAsia="仿宋_GB2312"/>
          <w:color w:val="000000"/>
          <w:sz w:val="24"/>
        </w:rPr>
        <w:sectPr>
          <w:pgSz w:w="16838" w:h="11906" w:orient="landscape"/>
          <w:pgMar w:top="1800" w:right="1276" w:bottom="1800" w:left="1440" w:header="851" w:footer="850" w:gutter="0"/>
          <w:cols w:space="720" w:num="1"/>
          <w:docGrid w:type="lines" w:linePitch="312" w:charSpace="0"/>
        </w:sectPr>
      </w:pP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附件12</w:t>
      </w:r>
    </w:p>
    <w:p>
      <w:pPr>
        <w:widowControl/>
        <w:jc w:val="center"/>
        <w:rPr>
          <w:rFonts w:ascii="方正小标宋简体" w:hAnsi="方正小标宋简体" w:eastAsia="方正小标宋简体" w:cs="方正小标宋简体"/>
          <w:bCs/>
          <w:color w:val="000000"/>
          <w:sz w:val="36"/>
        </w:rPr>
      </w:pPr>
      <w:r>
        <w:rPr>
          <w:rFonts w:hint="eastAsia" w:ascii="方正小标宋简体" w:hAnsi="方正小标宋简体" w:eastAsia="方正小标宋简体" w:cs="方正小标宋简体"/>
          <w:bCs/>
          <w:color w:val="000000"/>
          <w:sz w:val="36"/>
        </w:rPr>
        <w:t>工伤</w:t>
      </w:r>
      <w:r>
        <w:rPr>
          <w:rFonts w:hint="eastAsia" w:ascii="方正小标宋简体" w:hAnsi="方正小标宋简体" w:eastAsia="方正小标宋简体" w:cs="方正小标宋简体"/>
          <w:bCs/>
          <w:color w:val="000000"/>
          <w:sz w:val="36"/>
          <w:szCs w:val="36"/>
        </w:rPr>
        <w:t>保险</w:t>
      </w:r>
      <w:r>
        <w:rPr>
          <w:rFonts w:hint="eastAsia" w:ascii="方正小标宋简体" w:hAnsi="方正小标宋简体" w:eastAsia="方正小标宋简体" w:cs="方正小标宋简体"/>
          <w:bCs/>
          <w:color w:val="000000"/>
          <w:sz w:val="36"/>
        </w:rPr>
        <w:t>跨</w:t>
      </w:r>
      <w:r>
        <w:rPr>
          <w:rFonts w:hint="eastAsia" w:ascii="方正小标宋简体" w:hAnsi="方正小标宋简体" w:eastAsia="方正小标宋简体" w:cs="方正小标宋简体"/>
          <w:bCs/>
          <w:color w:val="000000"/>
          <w:sz w:val="36"/>
          <w:szCs w:val="36"/>
        </w:rPr>
        <w:t>省异地配置辅助器具备案表</w:t>
      </w:r>
    </w:p>
    <w:p>
      <w:pPr>
        <w:autoSpaceDN w:val="0"/>
        <w:ind w:right="1050" w:rightChars="500"/>
        <w:jc w:val="right"/>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编号：</w:t>
      </w:r>
    </w:p>
    <w:tbl>
      <w:tblPr>
        <w:tblStyle w:val="24"/>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5"/>
        <w:gridCol w:w="1821"/>
        <w:gridCol w:w="9"/>
        <w:gridCol w:w="10"/>
        <w:gridCol w:w="17"/>
        <w:gridCol w:w="1859"/>
        <w:gridCol w:w="136"/>
        <w:gridCol w:w="1723"/>
        <w:gridCol w:w="487"/>
        <w:gridCol w:w="1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restart"/>
            <w:vAlign w:val="center"/>
          </w:tcPr>
          <w:p>
            <w:pPr>
              <w:autoSpaceDN w:val="0"/>
              <w:jc w:val="center"/>
              <w:textAlignment w:val="center"/>
              <w:rPr>
                <w:rFonts w:ascii="仿宋_GB2312" w:hAnsi="Times New Roman" w:eastAsia="仿宋_GB2312"/>
                <w:color w:val="000000"/>
                <w:szCs w:val="21"/>
              </w:rPr>
            </w:pPr>
          </w:p>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lang w:eastAsia="zh-Hans"/>
              </w:rPr>
              <w:t>工伤职工</w:t>
            </w:r>
            <w:r>
              <w:rPr>
                <w:rFonts w:hint="eastAsia" w:ascii="仿宋_GB2312" w:hAnsi="Times New Roman" w:eastAsia="仿宋_GB2312"/>
                <w:color w:val="000000"/>
                <w:szCs w:val="21"/>
              </w:rPr>
              <w:t>基本信息</w:t>
            </w:r>
          </w:p>
          <w:p>
            <w:pPr>
              <w:autoSpaceDN w:val="0"/>
              <w:jc w:val="center"/>
              <w:textAlignment w:val="center"/>
              <w:rPr>
                <w:rFonts w:ascii="仿宋_GB2312" w:hAnsi="Times New Roman" w:eastAsia="仿宋_GB2312"/>
                <w:color w:val="000000"/>
                <w:szCs w:val="21"/>
              </w:rPr>
            </w:pPr>
          </w:p>
        </w:tc>
        <w:tc>
          <w:tcPr>
            <w:tcW w:w="1821" w:type="dxa"/>
            <w:vAlign w:val="center"/>
          </w:tcPr>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rPr>
              <w:t>姓名</w:t>
            </w:r>
          </w:p>
        </w:tc>
        <w:tc>
          <w:tcPr>
            <w:tcW w:w="2031" w:type="dxa"/>
            <w:gridSpan w:val="5"/>
            <w:vAlign w:val="center"/>
          </w:tcPr>
          <w:p>
            <w:pPr>
              <w:autoSpaceDN w:val="0"/>
              <w:jc w:val="center"/>
              <w:textAlignment w:val="center"/>
              <w:rPr>
                <w:rFonts w:ascii="仿宋_GB2312" w:hAnsi="Times New Roman" w:eastAsia="仿宋_GB2312"/>
                <w:color w:val="000000"/>
                <w:szCs w:val="21"/>
              </w:rPr>
            </w:pPr>
          </w:p>
        </w:tc>
        <w:tc>
          <w:tcPr>
            <w:tcW w:w="2210" w:type="dxa"/>
            <w:gridSpan w:val="2"/>
            <w:vAlign w:val="center"/>
          </w:tcPr>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rPr>
              <w:t>性别</w:t>
            </w:r>
          </w:p>
        </w:tc>
        <w:tc>
          <w:tcPr>
            <w:tcW w:w="1392" w:type="dxa"/>
            <w:vAlign w:val="bottom"/>
          </w:tcPr>
          <w:p>
            <w:pPr>
              <w:autoSpaceDN w:val="0"/>
              <w:jc w:val="center"/>
              <w:textAlignment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1065" w:type="dxa"/>
            <w:vMerge w:val="continue"/>
            <w:vAlign w:val="center"/>
          </w:tcPr>
          <w:p>
            <w:pPr>
              <w:autoSpaceDN w:val="0"/>
              <w:jc w:val="center"/>
              <w:textAlignment w:val="center"/>
              <w:rPr>
                <w:rFonts w:ascii="仿宋_GB2312" w:hAnsi="Times New Roman" w:eastAsia="仿宋_GB2312"/>
                <w:color w:val="000000"/>
                <w:szCs w:val="21"/>
              </w:rPr>
            </w:pPr>
          </w:p>
        </w:tc>
        <w:tc>
          <w:tcPr>
            <w:tcW w:w="1821" w:type="dxa"/>
            <w:vAlign w:val="center"/>
          </w:tcPr>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rPr>
              <w:t>公民身份号码</w:t>
            </w:r>
          </w:p>
        </w:tc>
        <w:tc>
          <w:tcPr>
            <w:tcW w:w="2031" w:type="dxa"/>
            <w:gridSpan w:val="5"/>
            <w:vAlign w:val="center"/>
          </w:tcPr>
          <w:p>
            <w:pPr>
              <w:autoSpaceDN w:val="0"/>
              <w:jc w:val="left"/>
              <w:textAlignment w:val="bottom"/>
              <w:rPr>
                <w:rFonts w:ascii="仿宋_GB2312" w:hAnsi="Times New Roman" w:eastAsia="仿宋_GB2312"/>
                <w:color w:val="000000"/>
                <w:szCs w:val="21"/>
              </w:rPr>
            </w:pPr>
          </w:p>
        </w:tc>
        <w:tc>
          <w:tcPr>
            <w:tcW w:w="2210" w:type="dxa"/>
            <w:gridSpan w:val="2"/>
            <w:vAlign w:val="center"/>
          </w:tcPr>
          <w:p>
            <w:pPr>
              <w:autoSpaceDN w:val="0"/>
              <w:jc w:val="center"/>
              <w:textAlignment w:val="bottom"/>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受伤部位</w:t>
            </w:r>
          </w:p>
        </w:tc>
        <w:tc>
          <w:tcPr>
            <w:tcW w:w="1392" w:type="dxa"/>
            <w:vAlign w:val="center"/>
          </w:tcPr>
          <w:p>
            <w:pPr>
              <w:autoSpaceDN w:val="0"/>
              <w:jc w:val="left"/>
              <w:textAlignment w:val="bottom"/>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vAlign w:val="center"/>
          </w:tcPr>
          <w:p>
            <w:pPr>
              <w:autoSpaceDN w:val="0"/>
              <w:jc w:val="center"/>
              <w:textAlignment w:val="center"/>
              <w:rPr>
                <w:rFonts w:ascii="仿宋_GB2312" w:hAnsi="Times New Roman" w:eastAsia="仿宋_GB2312"/>
                <w:color w:val="000000"/>
                <w:szCs w:val="21"/>
              </w:rPr>
            </w:pPr>
          </w:p>
        </w:tc>
        <w:tc>
          <w:tcPr>
            <w:tcW w:w="1821" w:type="dxa"/>
            <w:vAlign w:val="center"/>
          </w:tcPr>
          <w:p>
            <w:pPr>
              <w:autoSpaceDN w:val="0"/>
              <w:spacing w:line="300" w:lineRule="exact"/>
              <w:jc w:val="center"/>
              <w:textAlignment w:val="center"/>
              <w:rPr>
                <w:rFonts w:ascii="仿宋_GB2312" w:hAnsi="Times New Roman" w:eastAsia="仿宋_GB2312"/>
                <w:color w:val="000000"/>
                <w:szCs w:val="21"/>
              </w:rPr>
            </w:pPr>
            <w:r>
              <w:rPr>
                <w:rFonts w:hint="eastAsia" w:ascii="仿宋_GB2312" w:hAnsi="Times New Roman" w:eastAsia="仿宋_GB2312"/>
                <w:color w:val="000000"/>
                <w:spacing w:val="-10"/>
                <w:szCs w:val="21"/>
                <w:lang w:eastAsia="zh-Hans"/>
              </w:rPr>
              <w:t>工伤认定决定书文（编）号</w:t>
            </w:r>
          </w:p>
        </w:tc>
        <w:tc>
          <w:tcPr>
            <w:tcW w:w="2031" w:type="dxa"/>
            <w:gridSpan w:val="5"/>
            <w:vAlign w:val="center"/>
          </w:tcPr>
          <w:p>
            <w:pPr>
              <w:autoSpaceDN w:val="0"/>
              <w:spacing w:line="300" w:lineRule="exact"/>
              <w:jc w:val="center"/>
              <w:textAlignment w:val="center"/>
              <w:rPr>
                <w:rFonts w:ascii="仿宋_GB2312" w:hAnsi="Times New Roman" w:eastAsia="仿宋_GB2312"/>
                <w:color w:val="000000"/>
                <w:szCs w:val="21"/>
              </w:rPr>
            </w:pPr>
          </w:p>
        </w:tc>
        <w:tc>
          <w:tcPr>
            <w:tcW w:w="2210" w:type="dxa"/>
            <w:gridSpan w:val="2"/>
            <w:vAlign w:val="center"/>
          </w:tcPr>
          <w:p>
            <w:pPr>
              <w:autoSpaceDN w:val="0"/>
              <w:spacing w:line="300" w:lineRule="exact"/>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辅助器具配置结论书文（编）号</w:t>
            </w:r>
          </w:p>
        </w:tc>
        <w:tc>
          <w:tcPr>
            <w:tcW w:w="1392" w:type="dxa"/>
            <w:vAlign w:val="bottom"/>
          </w:tcPr>
          <w:p>
            <w:pPr>
              <w:autoSpaceDN w:val="0"/>
              <w:spacing w:line="300" w:lineRule="exact"/>
              <w:jc w:val="left"/>
              <w:textAlignment w:val="bottom"/>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vAlign w:val="center"/>
          </w:tcPr>
          <w:p>
            <w:pPr>
              <w:autoSpaceDN w:val="0"/>
              <w:jc w:val="center"/>
              <w:textAlignment w:val="center"/>
              <w:rPr>
                <w:rFonts w:ascii="仿宋_GB2312" w:hAnsi="Times New Roman" w:eastAsia="仿宋_GB2312"/>
                <w:color w:val="000000"/>
                <w:szCs w:val="21"/>
                <w:lang w:eastAsia="zh-Hans"/>
              </w:rPr>
            </w:pPr>
          </w:p>
        </w:tc>
        <w:tc>
          <w:tcPr>
            <w:tcW w:w="1821" w:type="dxa"/>
            <w:vAlign w:val="center"/>
          </w:tcPr>
          <w:p>
            <w:pPr>
              <w:autoSpaceDN w:val="0"/>
              <w:spacing w:line="300" w:lineRule="exact"/>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配置费用核付通知单文（编）号</w:t>
            </w:r>
          </w:p>
        </w:tc>
        <w:tc>
          <w:tcPr>
            <w:tcW w:w="2031" w:type="dxa"/>
            <w:gridSpan w:val="5"/>
            <w:vAlign w:val="center"/>
          </w:tcPr>
          <w:p>
            <w:pPr>
              <w:autoSpaceDN w:val="0"/>
              <w:spacing w:line="300" w:lineRule="exact"/>
              <w:jc w:val="center"/>
              <w:textAlignment w:val="bottom"/>
              <w:rPr>
                <w:rFonts w:ascii="仿宋_GB2312" w:hAnsi="Times New Roman" w:eastAsia="仿宋_GB2312"/>
                <w:color w:val="000000"/>
                <w:szCs w:val="21"/>
              </w:rPr>
            </w:pPr>
          </w:p>
        </w:tc>
        <w:tc>
          <w:tcPr>
            <w:tcW w:w="2210" w:type="dxa"/>
            <w:gridSpan w:val="2"/>
            <w:vAlign w:val="center"/>
          </w:tcPr>
          <w:p>
            <w:pPr>
              <w:autoSpaceDN w:val="0"/>
              <w:spacing w:line="300" w:lineRule="exact"/>
              <w:jc w:val="center"/>
              <w:textAlignment w:val="bottom"/>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联系电话</w:t>
            </w:r>
          </w:p>
        </w:tc>
        <w:tc>
          <w:tcPr>
            <w:tcW w:w="1392" w:type="dxa"/>
            <w:vAlign w:val="center"/>
          </w:tcPr>
          <w:p>
            <w:pPr>
              <w:autoSpaceDN w:val="0"/>
              <w:spacing w:line="300" w:lineRule="exact"/>
              <w:jc w:val="center"/>
              <w:textAlignment w:val="bottom"/>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5" w:hRule="atLeast"/>
          <w:jc w:val="center"/>
        </w:trPr>
        <w:tc>
          <w:tcPr>
            <w:tcW w:w="1065" w:type="dxa"/>
            <w:vMerge w:val="continue"/>
            <w:vAlign w:val="center"/>
          </w:tcPr>
          <w:p>
            <w:pPr>
              <w:autoSpaceDN w:val="0"/>
              <w:jc w:val="center"/>
              <w:textAlignment w:val="center"/>
              <w:rPr>
                <w:rFonts w:ascii="仿宋_GB2312" w:hAnsi="Times New Roman" w:eastAsia="仿宋_GB2312"/>
                <w:color w:val="000000"/>
                <w:szCs w:val="21"/>
                <w:lang w:eastAsia="zh-Hans"/>
              </w:rPr>
            </w:pPr>
          </w:p>
        </w:tc>
        <w:tc>
          <w:tcPr>
            <w:tcW w:w="1821" w:type="dxa"/>
            <w:vAlign w:val="center"/>
          </w:tcPr>
          <w:p>
            <w:pPr>
              <w:autoSpaceDN w:val="0"/>
              <w:spacing w:line="300" w:lineRule="exact"/>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联系地址</w:t>
            </w:r>
          </w:p>
        </w:tc>
        <w:tc>
          <w:tcPr>
            <w:tcW w:w="5633" w:type="dxa"/>
            <w:gridSpan w:val="8"/>
            <w:vAlign w:val="center"/>
          </w:tcPr>
          <w:p>
            <w:pPr>
              <w:autoSpaceDN w:val="0"/>
              <w:spacing w:line="300" w:lineRule="exact"/>
              <w:jc w:val="center"/>
              <w:textAlignment w:val="bottom"/>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restart"/>
            <w:vAlign w:val="center"/>
          </w:tcPr>
          <w:p>
            <w:pPr>
              <w:autoSpaceDN w:val="0"/>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备案信息</w:t>
            </w:r>
          </w:p>
        </w:tc>
        <w:tc>
          <w:tcPr>
            <w:tcW w:w="1840" w:type="dxa"/>
            <w:gridSpan w:val="3"/>
            <w:vAlign w:val="center"/>
          </w:tcPr>
          <w:p>
            <w:pPr>
              <w:autoSpaceDN w:val="0"/>
              <w:jc w:val="center"/>
              <w:textAlignment w:val="bottom"/>
              <w:rPr>
                <w:rFonts w:ascii="仿宋_GB2312" w:hAnsi="Times New Roman" w:eastAsia="仿宋_GB2312"/>
                <w:color w:val="000000"/>
                <w:szCs w:val="21"/>
              </w:rPr>
            </w:pPr>
            <w:r>
              <w:rPr>
                <w:rFonts w:hint="eastAsia" w:ascii="仿宋_GB2312" w:hAnsi="Times New Roman" w:eastAsia="仿宋_GB2312"/>
                <w:color w:val="000000"/>
                <w:szCs w:val="21"/>
                <w:lang w:eastAsia="zh-Hans"/>
              </w:rPr>
              <w:t>备案类别</w:t>
            </w:r>
          </w:p>
        </w:tc>
        <w:tc>
          <w:tcPr>
            <w:tcW w:w="5614" w:type="dxa"/>
            <w:gridSpan w:val="6"/>
            <w:vAlign w:val="center"/>
          </w:tcPr>
          <w:p>
            <w:pPr>
              <w:autoSpaceDN w:val="0"/>
              <w:jc w:val="center"/>
              <w:textAlignment w:val="bottom"/>
              <w:rPr>
                <w:rFonts w:ascii="仿宋_GB2312" w:hAnsi="Times New Roman" w:eastAsia="仿宋_GB2312"/>
                <w:color w:val="000000"/>
                <w:szCs w:val="21"/>
              </w:rPr>
            </w:pPr>
            <w:r>
              <w:rPr>
                <w:rFonts w:hint="eastAsia" w:ascii="仿宋_GB2312" w:hAnsi="Times New Roman" w:eastAsia="仿宋_GB2312"/>
                <w:color w:val="000000"/>
                <w:szCs w:val="21"/>
              </w:rPr>
              <w:t>□</w:t>
            </w:r>
            <w:r>
              <w:rPr>
                <w:rFonts w:hint="eastAsia" w:ascii="仿宋_GB2312" w:hAnsi="Times New Roman" w:eastAsia="仿宋_GB2312"/>
                <w:color w:val="000000"/>
                <w:szCs w:val="21"/>
                <w:lang w:eastAsia="zh-Hans"/>
              </w:rPr>
              <w:t xml:space="preserve">新增  </w:t>
            </w:r>
            <w:r>
              <w:rPr>
                <w:rFonts w:hint="eastAsia" w:ascii="仿宋_GB2312" w:hAnsi="Times New Roman" w:eastAsia="仿宋_GB2312"/>
                <w:color w:val="000000"/>
                <w:szCs w:val="21"/>
              </w:rPr>
              <w:t>□</w:t>
            </w:r>
            <w:r>
              <w:rPr>
                <w:rFonts w:hint="eastAsia" w:ascii="仿宋_GB2312" w:hAnsi="Times New Roman" w:eastAsia="仿宋_GB2312"/>
                <w:color w:val="000000"/>
                <w:szCs w:val="21"/>
                <w:lang w:eastAsia="zh-Hans"/>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vAlign w:val="center"/>
          </w:tcPr>
          <w:p>
            <w:pPr>
              <w:autoSpaceDN w:val="0"/>
              <w:jc w:val="center"/>
              <w:textAlignment w:val="center"/>
              <w:rPr>
                <w:rFonts w:ascii="仿宋_GB2312" w:hAnsi="Times New Roman" w:eastAsia="仿宋_GB2312"/>
                <w:color w:val="000000"/>
                <w:szCs w:val="21"/>
                <w:lang w:eastAsia="zh-Hans"/>
              </w:rPr>
            </w:pPr>
          </w:p>
        </w:tc>
        <w:tc>
          <w:tcPr>
            <w:tcW w:w="1821" w:type="dxa"/>
            <w:vAlign w:val="center"/>
          </w:tcPr>
          <w:p>
            <w:pPr>
              <w:autoSpaceDN w:val="0"/>
              <w:jc w:val="center"/>
              <w:textAlignment w:val="bottom"/>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人员类别</w:t>
            </w:r>
          </w:p>
        </w:tc>
        <w:tc>
          <w:tcPr>
            <w:tcW w:w="5633" w:type="dxa"/>
            <w:gridSpan w:val="8"/>
            <w:vAlign w:val="center"/>
          </w:tcPr>
          <w:p>
            <w:pPr>
              <w:autoSpaceDN w:val="0"/>
              <w:textAlignment w:val="bottom"/>
              <w:rPr>
                <w:rFonts w:ascii="仿宋_GB2312" w:hAnsi="Times New Roman" w:eastAsia="仿宋_GB2312"/>
                <w:color w:val="000000"/>
                <w:szCs w:val="21"/>
                <w:lang w:eastAsia="zh-Hans"/>
              </w:rPr>
            </w:pPr>
            <w:r>
              <w:rPr>
                <w:rFonts w:hint="eastAsia" w:ascii="仿宋_GB2312" w:hAnsi="Times New Roman" w:eastAsia="仿宋_GB2312"/>
                <w:color w:val="000000"/>
                <w:szCs w:val="21"/>
              </w:rPr>
              <w:t>□转外配置</w:t>
            </w:r>
            <w:r>
              <w:rPr>
                <w:rFonts w:hint="eastAsia" w:ascii="仿宋_GB2312" w:hAnsi="Times New Roman" w:eastAsia="仿宋_GB2312"/>
                <w:color w:val="000000"/>
                <w:szCs w:val="21"/>
                <w:lang w:eastAsia="zh-Hans"/>
              </w:rPr>
              <w:t xml:space="preserve">人员 </w:t>
            </w:r>
            <w:r>
              <w:rPr>
                <w:rFonts w:hint="eastAsia" w:ascii="仿宋_GB2312" w:hAnsi="Times New Roman" w:eastAsia="仿宋_GB2312"/>
                <w:color w:val="000000"/>
                <w:szCs w:val="21"/>
              </w:rPr>
              <w:t>□</w:t>
            </w:r>
            <w:r>
              <w:rPr>
                <w:rFonts w:hint="eastAsia" w:ascii="仿宋_GB2312" w:hAnsi="Times New Roman" w:eastAsia="仿宋_GB2312"/>
                <w:color w:val="000000"/>
                <w:szCs w:val="21"/>
                <w:lang w:eastAsia="zh-Hans"/>
              </w:rPr>
              <w:t>异地长期居住人员</w:t>
            </w:r>
            <w:r>
              <w:rPr>
                <w:rFonts w:hint="eastAsia" w:ascii="仿宋_GB2312" w:hAnsi="Times New Roman" w:eastAsia="仿宋_GB2312"/>
                <w:color w:val="000000"/>
                <w:szCs w:val="21"/>
              </w:rPr>
              <w:t>□</w:t>
            </w:r>
            <w:r>
              <w:rPr>
                <w:rFonts w:hint="eastAsia" w:ascii="仿宋_GB2312" w:hAnsi="Times New Roman" w:eastAsia="仿宋_GB2312"/>
                <w:color w:val="000000"/>
                <w:szCs w:val="21"/>
                <w:lang w:eastAsia="zh-Hans"/>
              </w:rPr>
              <w:t>常驻异地工作人员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restart"/>
            <w:vAlign w:val="center"/>
          </w:tcPr>
          <w:p>
            <w:pPr>
              <w:autoSpaceDN w:val="0"/>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申请人</w:t>
            </w:r>
          </w:p>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lang w:eastAsia="zh-Hans"/>
              </w:rPr>
              <w:t>基本</w:t>
            </w:r>
            <w:r>
              <w:rPr>
                <w:rFonts w:hint="eastAsia" w:ascii="仿宋_GB2312" w:hAnsi="Times New Roman" w:eastAsia="仿宋_GB2312"/>
                <w:color w:val="000000"/>
                <w:szCs w:val="21"/>
              </w:rPr>
              <w:t>信息</w:t>
            </w:r>
          </w:p>
        </w:tc>
        <w:tc>
          <w:tcPr>
            <w:tcW w:w="7454" w:type="dxa"/>
            <w:gridSpan w:val="9"/>
            <w:vAlign w:val="center"/>
          </w:tcPr>
          <w:p>
            <w:pPr>
              <w:autoSpaceDN w:val="0"/>
              <w:jc w:val="left"/>
              <w:textAlignment w:val="center"/>
              <w:rPr>
                <w:rFonts w:ascii="仿宋_GB2312" w:hAnsi="Times New Roman" w:eastAsia="仿宋_GB2312"/>
                <w:color w:val="000000"/>
                <w:szCs w:val="21"/>
              </w:rPr>
            </w:pPr>
            <w:r>
              <w:rPr>
                <w:rFonts w:hint="eastAsia" w:ascii="仿宋_GB2312" w:hAnsi="Times New Roman" w:eastAsia="仿宋_GB2312"/>
                <w:color w:val="000000"/>
                <w:szCs w:val="21"/>
              </w:rPr>
              <w:t>□</w:t>
            </w:r>
            <w:r>
              <w:rPr>
                <w:rFonts w:hint="eastAsia" w:ascii="仿宋_GB2312" w:hAnsi="Times New Roman" w:eastAsia="仿宋_GB2312"/>
                <w:color w:val="000000"/>
                <w:szCs w:val="21"/>
                <w:lang w:eastAsia="zh-Hans"/>
              </w:rPr>
              <w:t xml:space="preserve">本人  </w:t>
            </w:r>
            <w:r>
              <w:rPr>
                <w:rFonts w:hint="eastAsia" w:ascii="仿宋_GB2312" w:hAnsi="Times New Roman" w:eastAsia="仿宋_GB2312"/>
                <w:color w:val="000000"/>
                <w:szCs w:val="21"/>
              </w:rPr>
              <w:t>□</w:t>
            </w:r>
            <w:r>
              <w:rPr>
                <w:rFonts w:hint="eastAsia" w:ascii="仿宋_GB2312" w:hAnsi="Times New Roman" w:eastAsia="仿宋_GB2312"/>
                <w:color w:val="000000"/>
                <w:szCs w:val="21"/>
                <w:lang w:eastAsia="zh-Hans"/>
              </w:rPr>
              <w:t xml:space="preserve">工伤职工近亲属  </w:t>
            </w:r>
            <w:r>
              <w:rPr>
                <w:rFonts w:hint="eastAsia" w:ascii="仿宋_GB2312" w:hAnsi="Times New Roman" w:eastAsia="仿宋_GB2312"/>
                <w:color w:val="000000"/>
                <w:szCs w:val="21"/>
              </w:rPr>
              <w:t>□</w:t>
            </w:r>
            <w:r>
              <w:rPr>
                <w:rFonts w:hint="eastAsia" w:ascii="仿宋_GB2312" w:hAnsi="Times New Roman" w:eastAsia="仿宋_GB2312"/>
                <w:color w:val="000000"/>
                <w:szCs w:val="21"/>
                <w:lang w:eastAsia="zh-Hans"/>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vAlign w:val="center"/>
          </w:tcPr>
          <w:p>
            <w:pPr>
              <w:rPr>
                <w:rFonts w:ascii="仿宋_GB2312" w:hAnsi="Times New Roman" w:eastAsia="仿宋_GB2312"/>
                <w:color w:val="000000"/>
                <w:szCs w:val="21"/>
              </w:rPr>
            </w:pPr>
          </w:p>
        </w:tc>
        <w:tc>
          <w:tcPr>
            <w:tcW w:w="1821" w:type="dxa"/>
            <w:vAlign w:val="center"/>
          </w:tcPr>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lang w:eastAsia="zh-Hans"/>
              </w:rPr>
              <w:t>近亲属姓名</w:t>
            </w:r>
          </w:p>
        </w:tc>
        <w:tc>
          <w:tcPr>
            <w:tcW w:w="2031" w:type="dxa"/>
            <w:gridSpan w:val="5"/>
            <w:vAlign w:val="bottom"/>
          </w:tcPr>
          <w:p>
            <w:pPr>
              <w:autoSpaceDN w:val="0"/>
              <w:jc w:val="center"/>
              <w:textAlignment w:val="center"/>
              <w:rPr>
                <w:rFonts w:ascii="仿宋_GB2312" w:hAnsi="Times New Roman" w:eastAsia="仿宋_GB2312"/>
                <w:color w:val="000000"/>
                <w:szCs w:val="21"/>
              </w:rPr>
            </w:pPr>
          </w:p>
        </w:tc>
        <w:tc>
          <w:tcPr>
            <w:tcW w:w="2210" w:type="dxa"/>
            <w:gridSpan w:val="2"/>
            <w:vAlign w:val="center"/>
          </w:tcPr>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rPr>
              <w:t>近亲属公民身份号码</w:t>
            </w:r>
          </w:p>
        </w:tc>
        <w:tc>
          <w:tcPr>
            <w:tcW w:w="1392" w:type="dxa"/>
            <w:vAlign w:val="bottom"/>
          </w:tcPr>
          <w:p>
            <w:pPr>
              <w:autoSpaceDN w:val="0"/>
              <w:jc w:val="center"/>
              <w:textAlignment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vAlign w:val="center"/>
          </w:tcPr>
          <w:p>
            <w:pPr>
              <w:rPr>
                <w:rFonts w:ascii="仿宋_GB2312" w:hAnsi="Times New Roman" w:eastAsia="仿宋_GB2312"/>
                <w:color w:val="000000"/>
                <w:szCs w:val="21"/>
              </w:rPr>
            </w:pPr>
          </w:p>
        </w:tc>
        <w:tc>
          <w:tcPr>
            <w:tcW w:w="1821" w:type="dxa"/>
            <w:vAlign w:val="center"/>
          </w:tcPr>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rPr>
              <w:t>近亲属联系方式</w:t>
            </w:r>
          </w:p>
        </w:tc>
        <w:tc>
          <w:tcPr>
            <w:tcW w:w="5633" w:type="dxa"/>
            <w:gridSpan w:val="8"/>
            <w:vAlign w:val="center"/>
          </w:tcPr>
          <w:p>
            <w:pPr>
              <w:autoSpaceDN w:val="0"/>
              <w:jc w:val="left"/>
              <w:textAlignment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vAlign w:val="center"/>
          </w:tcPr>
          <w:p>
            <w:pPr>
              <w:rPr>
                <w:rFonts w:ascii="仿宋_GB2312" w:hAnsi="Times New Roman" w:eastAsia="仿宋_GB2312"/>
                <w:color w:val="000000"/>
                <w:szCs w:val="21"/>
              </w:rPr>
            </w:pPr>
          </w:p>
        </w:tc>
        <w:tc>
          <w:tcPr>
            <w:tcW w:w="1821" w:type="dxa"/>
            <w:vAlign w:val="center"/>
          </w:tcPr>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lang w:eastAsia="zh-Hans"/>
              </w:rPr>
              <w:t>用人单位</w:t>
            </w:r>
            <w:r>
              <w:rPr>
                <w:rFonts w:hint="eastAsia" w:ascii="仿宋_GB2312" w:hAnsi="Times New Roman" w:eastAsia="仿宋_GB2312"/>
                <w:color w:val="000000"/>
                <w:szCs w:val="21"/>
              </w:rPr>
              <w:t>名称</w:t>
            </w:r>
          </w:p>
        </w:tc>
        <w:tc>
          <w:tcPr>
            <w:tcW w:w="2031" w:type="dxa"/>
            <w:gridSpan w:val="5"/>
            <w:vAlign w:val="center"/>
          </w:tcPr>
          <w:p>
            <w:pPr>
              <w:autoSpaceDN w:val="0"/>
              <w:jc w:val="left"/>
              <w:textAlignment w:val="center"/>
              <w:rPr>
                <w:rFonts w:ascii="仿宋_GB2312" w:hAnsi="Times New Roman" w:eastAsia="仿宋_GB2312"/>
                <w:color w:val="000000"/>
                <w:szCs w:val="21"/>
              </w:rPr>
            </w:pPr>
          </w:p>
        </w:tc>
        <w:tc>
          <w:tcPr>
            <w:tcW w:w="2210" w:type="dxa"/>
            <w:gridSpan w:val="2"/>
            <w:vAlign w:val="center"/>
          </w:tcPr>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rPr>
              <w:t>用人单位社会统一信用代码</w:t>
            </w:r>
          </w:p>
        </w:tc>
        <w:tc>
          <w:tcPr>
            <w:tcW w:w="1392" w:type="dxa"/>
            <w:vAlign w:val="center"/>
          </w:tcPr>
          <w:p>
            <w:pPr>
              <w:autoSpaceDN w:val="0"/>
              <w:jc w:val="left"/>
              <w:textAlignment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vAlign w:val="center"/>
          </w:tcPr>
          <w:p>
            <w:pPr>
              <w:rPr>
                <w:rFonts w:ascii="仿宋_GB2312" w:hAnsi="Times New Roman" w:eastAsia="仿宋_GB2312"/>
                <w:color w:val="000000"/>
                <w:szCs w:val="21"/>
              </w:rPr>
            </w:pPr>
          </w:p>
        </w:tc>
        <w:tc>
          <w:tcPr>
            <w:tcW w:w="1830" w:type="dxa"/>
            <w:gridSpan w:val="2"/>
            <w:vAlign w:val="center"/>
          </w:tcPr>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rPr>
              <w:t>用人单位联系人</w:t>
            </w:r>
          </w:p>
        </w:tc>
        <w:tc>
          <w:tcPr>
            <w:tcW w:w="2022" w:type="dxa"/>
            <w:gridSpan w:val="4"/>
            <w:vAlign w:val="center"/>
          </w:tcPr>
          <w:p>
            <w:pPr>
              <w:autoSpaceDN w:val="0"/>
              <w:ind w:right="1050" w:rightChars="500"/>
              <w:jc w:val="center"/>
              <w:textAlignment w:val="center"/>
              <w:rPr>
                <w:rFonts w:ascii="仿宋_GB2312" w:hAnsi="Times New Roman" w:eastAsia="仿宋_GB2312"/>
                <w:color w:val="000000"/>
                <w:szCs w:val="21"/>
                <w:lang w:eastAsia="zh-Hans"/>
              </w:rPr>
            </w:pPr>
          </w:p>
        </w:tc>
        <w:tc>
          <w:tcPr>
            <w:tcW w:w="2210" w:type="dxa"/>
            <w:gridSpan w:val="2"/>
            <w:vAlign w:val="center"/>
          </w:tcPr>
          <w:p>
            <w:pPr>
              <w:autoSpaceDN w:val="0"/>
              <w:jc w:val="center"/>
              <w:textAlignment w:val="center"/>
              <w:rPr>
                <w:rFonts w:ascii="仿宋_GB2312" w:hAnsi="Times New Roman" w:eastAsia="仿宋_GB2312"/>
                <w:color w:val="000000"/>
                <w:szCs w:val="21"/>
              </w:rPr>
            </w:pPr>
            <w:r>
              <w:rPr>
                <w:rFonts w:hint="eastAsia" w:ascii="仿宋_GB2312" w:hAnsi="Times New Roman" w:eastAsia="仿宋_GB2312"/>
                <w:color w:val="000000"/>
                <w:szCs w:val="21"/>
              </w:rPr>
              <w:t>用人单位联系方式</w:t>
            </w:r>
          </w:p>
        </w:tc>
        <w:tc>
          <w:tcPr>
            <w:tcW w:w="1392" w:type="dxa"/>
            <w:vAlign w:val="center"/>
          </w:tcPr>
          <w:p>
            <w:pPr>
              <w:autoSpaceDN w:val="0"/>
              <w:ind w:right="1050" w:rightChars="500"/>
              <w:jc w:val="right"/>
              <w:textAlignment w:val="center"/>
              <w:rPr>
                <w:rFonts w:ascii="仿宋_GB2312" w:hAnsi="Times New Roman" w:eastAsia="仿宋_GB2312"/>
                <w:color w:val="000000"/>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1065" w:type="dxa"/>
            <w:vMerge w:val="continue"/>
            <w:vAlign w:val="center"/>
          </w:tcPr>
          <w:p>
            <w:pPr>
              <w:rPr>
                <w:rFonts w:ascii="仿宋_GB2312" w:hAnsi="Times New Roman" w:eastAsia="仿宋_GB2312"/>
                <w:color w:val="000000"/>
                <w:szCs w:val="21"/>
              </w:rPr>
            </w:pPr>
          </w:p>
        </w:tc>
        <w:tc>
          <w:tcPr>
            <w:tcW w:w="7454" w:type="dxa"/>
            <w:gridSpan w:val="9"/>
            <w:vAlign w:val="center"/>
          </w:tcPr>
          <w:p>
            <w:pPr>
              <w:autoSpaceDN w:val="0"/>
              <w:ind w:right="1260" w:rightChars="600"/>
              <w:jc w:val="right"/>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申请人：</w:t>
            </w:r>
          </w:p>
          <w:p>
            <w:pPr>
              <w:autoSpaceDN w:val="0"/>
              <w:ind w:right="1050" w:rightChars="500"/>
              <w:jc w:val="right"/>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（指印/章）</w:t>
            </w:r>
          </w:p>
          <w:p>
            <w:pPr>
              <w:autoSpaceDN w:val="0"/>
              <w:ind w:right="1050" w:rightChars="500"/>
              <w:jc w:val="right"/>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restart"/>
            <w:vAlign w:val="center"/>
          </w:tcPr>
          <w:p>
            <w:pPr>
              <w:autoSpaceDN w:val="0"/>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辅助器具基本信息</w:t>
            </w:r>
          </w:p>
        </w:tc>
        <w:tc>
          <w:tcPr>
            <w:tcW w:w="1857" w:type="dxa"/>
            <w:gridSpan w:val="4"/>
            <w:vAlign w:val="center"/>
          </w:tcPr>
          <w:p>
            <w:pPr>
              <w:autoSpaceDN w:val="0"/>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辅助器具名称</w:t>
            </w:r>
          </w:p>
        </w:tc>
        <w:tc>
          <w:tcPr>
            <w:tcW w:w="5597" w:type="dxa"/>
            <w:gridSpan w:val="5"/>
            <w:vAlign w:val="center"/>
          </w:tcPr>
          <w:p>
            <w:pPr>
              <w:autoSpaceDN w:val="0"/>
              <w:ind w:right="1050" w:rightChars="500"/>
              <w:jc w:val="center"/>
              <w:textAlignment w:val="center"/>
              <w:rPr>
                <w:rFonts w:ascii="仿宋_GB2312" w:hAnsi="Times New Roman"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065" w:type="dxa"/>
            <w:vMerge w:val="continue"/>
            <w:vAlign w:val="center"/>
          </w:tcPr>
          <w:p>
            <w:pPr>
              <w:autoSpaceDN w:val="0"/>
              <w:jc w:val="center"/>
              <w:textAlignment w:val="center"/>
              <w:rPr>
                <w:rFonts w:ascii="仿宋_GB2312" w:hAnsi="Times New Roman" w:eastAsia="仿宋_GB2312"/>
                <w:color w:val="000000"/>
                <w:szCs w:val="21"/>
                <w:lang w:eastAsia="zh-Hans"/>
              </w:rPr>
            </w:pPr>
          </w:p>
        </w:tc>
        <w:tc>
          <w:tcPr>
            <w:tcW w:w="1857" w:type="dxa"/>
            <w:gridSpan w:val="4"/>
            <w:vAlign w:val="center"/>
          </w:tcPr>
          <w:p>
            <w:pPr>
              <w:autoSpaceDN w:val="0"/>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最低使用年限</w:t>
            </w:r>
          </w:p>
        </w:tc>
        <w:tc>
          <w:tcPr>
            <w:tcW w:w="1859" w:type="dxa"/>
            <w:vAlign w:val="center"/>
          </w:tcPr>
          <w:p>
            <w:pPr>
              <w:autoSpaceDN w:val="0"/>
              <w:ind w:right="1050" w:rightChars="500"/>
              <w:jc w:val="center"/>
              <w:textAlignment w:val="center"/>
              <w:rPr>
                <w:rFonts w:ascii="仿宋_GB2312" w:hAnsi="Times New Roman" w:eastAsia="仿宋_GB2312"/>
                <w:color w:val="000000"/>
                <w:szCs w:val="21"/>
                <w:lang w:eastAsia="zh-Hans"/>
              </w:rPr>
            </w:pPr>
          </w:p>
        </w:tc>
        <w:tc>
          <w:tcPr>
            <w:tcW w:w="1859" w:type="dxa"/>
            <w:gridSpan w:val="2"/>
            <w:vAlign w:val="center"/>
          </w:tcPr>
          <w:p>
            <w:pPr>
              <w:autoSpaceDN w:val="0"/>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最高支付限额</w:t>
            </w:r>
          </w:p>
        </w:tc>
        <w:tc>
          <w:tcPr>
            <w:tcW w:w="1879" w:type="dxa"/>
            <w:gridSpan w:val="2"/>
            <w:vAlign w:val="center"/>
          </w:tcPr>
          <w:p>
            <w:pPr>
              <w:autoSpaceDN w:val="0"/>
              <w:ind w:right="1050" w:rightChars="500"/>
              <w:jc w:val="center"/>
              <w:textAlignment w:val="center"/>
              <w:rPr>
                <w:rFonts w:ascii="仿宋_GB2312" w:hAnsi="Times New Roman" w:eastAsia="仿宋_GB2312"/>
                <w:color w:val="000000"/>
                <w:szCs w:val="21"/>
                <w:lang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1065" w:type="dxa"/>
            <w:vAlign w:val="center"/>
          </w:tcPr>
          <w:p>
            <w:pPr>
              <w:autoSpaceDN w:val="0"/>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就医地</w:t>
            </w:r>
          </w:p>
        </w:tc>
        <w:tc>
          <w:tcPr>
            <w:tcW w:w="7454" w:type="dxa"/>
            <w:gridSpan w:val="9"/>
            <w:vAlign w:val="center"/>
          </w:tcPr>
          <w:p>
            <w:pPr>
              <w:autoSpaceDN w:val="0"/>
              <w:jc w:val="left"/>
              <w:textAlignment w:val="center"/>
              <w:rPr>
                <w:rFonts w:ascii="仿宋_GB2312" w:hAnsi="Times New Roman" w:eastAsia="仿宋_GB2312"/>
                <w:color w:val="000000"/>
                <w:szCs w:val="21"/>
              </w:rPr>
            </w:pPr>
            <w:r>
              <w:rPr>
                <w:rFonts w:hint="eastAsia" w:ascii="仿宋_GB2312" w:hAnsi="Times New Roman" w:eastAsia="仿宋_GB2312"/>
                <w:color w:val="000000"/>
                <w:szCs w:val="21"/>
                <w:u w:val="single"/>
              </w:rPr>
              <w:t xml:space="preserve">       </w:t>
            </w:r>
            <w:r>
              <w:rPr>
                <w:rFonts w:hint="eastAsia" w:ascii="仿宋_GB2312" w:hAnsi="Times New Roman" w:eastAsia="仿宋_GB2312"/>
                <w:color w:val="000000"/>
                <w:szCs w:val="21"/>
              </w:rPr>
              <w:t>省（自治区、直辖市）</w:t>
            </w:r>
            <w:r>
              <w:rPr>
                <w:rFonts w:hint="eastAsia" w:ascii="仿宋_GB2312" w:hAnsi="Times New Roman" w:eastAsia="仿宋_GB2312"/>
                <w:color w:val="000000"/>
                <w:szCs w:val="21"/>
                <w:u w:val="single"/>
              </w:rPr>
              <w:t xml:space="preserve">      </w:t>
            </w:r>
            <w:r>
              <w:rPr>
                <w:rFonts w:hint="eastAsia" w:ascii="仿宋_GB2312" w:hAnsi="Times New Roman" w:eastAsia="仿宋_GB2312"/>
                <w:color w:val="000000"/>
                <w:szCs w:val="21"/>
              </w:rPr>
              <w:t>市（县、区）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7" w:hRule="atLeast"/>
          <w:jc w:val="center"/>
        </w:trPr>
        <w:tc>
          <w:tcPr>
            <w:tcW w:w="1065" w:type="dxa"/>
            <w:vAlign w:val="center"/>
          </w:tcPr>
          <w:p>
            <w:pPr>
              <w:autoSpaceDN w:val="0"/>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参保地</w:t>
            </w:r>
          </w:p>
          <w:p>
            <w:pPr>
              <w:autoSpaceDN w:val="0"/>
              <w:jc w:val="center"/>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经办机构意见</w:t>
            </w:r>
          </w:p>
        </w:tc>
        <w:tc>
          <w:tcPr>
            <w:tcW w:w="7454" w:type="dxa"/>
            <w:gridSpan w:val="9"/>
            <w:vAlign w:val="center"/>
          </w:tcPr>
          <w:p>
            <w:pPr>
              <w:autoSpaceDN w:val="0"/>
              <w:spacing w:line="280" w:lineRule="exact"/>
              <w:jc w:val="left"/>
              <w:textAlignment w:val="center"/>
              <w:rPr>
                <w:rFonts w:ascii="仿宋_GB2312" w:hAnsi="Times New Roman" w:eastAsia="仿宋_GB2312"/>
                <w:color w:val="000000"/>
                <w:szCs w:val="21"/>
              </w:rPr>
            </w:pPr>
            <w:r>
              <w:rPr>
                <w:rFonts w:hint="eastAsia" w:ascii="仿宋_GB2312" w:hAnsi="Times New Roman" w:eastAsia="仿宋_GB2312"/>
                <w:color w:val="000000"/>
                <w:szCs w:val="21"/>
              </w:rPr>
              <w:t>□</w:t>
            </w:r>
            <w:r>
              <w:rPr>
                <w:rFonts w:hint="eastAsia" w:ascii="仿宋_GB2312" w:hAnsi="Times New Roman" w:eastAsia="仿宋_GB2312"/>
                <w:color w:val="000000"/>
                <w:szCs w:val="21"/>
                <w:lang w:eastAsia="zh-Hans"/>
              </w:rPr>
              <w:t xml:space="preserve">同意  </w:t>
            </w:r>
            <w:r>
              <w:rPr>
                <w:rFonts w:hint="eastAsia" w:ascii="仿宋_GB2312" w:hAnsi="Times New Roman" w:eastAsia="仿宋_GB2312"/>
                <w:color w:val="000000"/>
                <w:szCs w:val="21"/>
              </w:rPr>
              <w:t>□</w:t>
            </w:r>
            <w:r>
              <w:rPr>
                <w:rFonts w:hint="eastAsia" w:ascii="仿宋_GB2312" w:hAnsi="Times New Roman" w:eastAsia="仿宋_GB2312"/>
                <w:color w:val="000000"/>
                <w:szCs w:val="21"/>
                <w:lang w:eastAsia="zh-Hans"/>
              </w:rPr>
              <w:t>不同意</w:t>
            </w:r>
            <w:r>
              <w:rPr>
                <w:rFonts w:hint="eastAsia" w:ascii="仿宋_GB2312" w:hAnsi="Times New Roman" w:eastAsia="仿宋_GB2312"/>
                <w:color w:val="000000"/>
                <w:szCs w:val="21"/>
                <w:u w:val="single"/>
                <w:lang w:eastAsia="zh-Hans"/>
              </w:rPr>
              <w:t xml:space="preserve">         </w:t>
            </w:r>
            <w:r>
              <w:rPr>
                <w:rFonts w:hint="eastAsia" w:ascii="仿宋_GB2312" w:hAnsi="Times New Roman" w:eastAsia="仿宋_GB2312"/>
                <w:color w:val="000000"/>
                <w:szCs w:val="21"/>
                <w:lang w:eastAsia="zh-Hans"/>
              </w:rPr>
              <w:t>（理由）</w:t>
            </w:r>
          </w:p>
          <w:p>
            <w:pPr>
              <w:spacing w:line="280" w:lineRule="exact"/>
              <w:jc w:val="left"/>
              <w:rPr>
                <w:rFonts w:ascii="仿宋_GB2312" w:hAnsi="Times New Roman" w:eastAsia="仿宋_GB2312"/>
                <w:color w:val="000000"/>
                <w:szCs w:val="21"/>
              </w:rPr>
            </w:pPr>
            <w:r>
              <w:rPr>
                <w:rFonts w:hint="eastAsia" w:ascii="仿宋_GB2312" w:hAnsi="Times New Roman" w:eastAsia="仿宋_GB2312"/>
                <w:color w:val="000000"/>
                <w:szCs w:val="21"/>
              </w:rPr>
              <w:t>备案有效期：</w:t>
            </w:r>
            <w:r>
              <w:rPr>
                <w:rFonts w:hint="eastAsia" w:ascii="仿宋_GB2312" w:hAnsi="Times New Roman" w:eastAsia="仿宋_GB2312"/>
                <w:color w:val="000000"/>
                <w:szCs w:val="21"/>
                <w:u w:val="single"/>
              </w:rPr>
              <w:t xml:space="preserve">   </w:t>
            </w:r>
            <w:r>
              <w:rPr>
                <w:rFonts w:hint="eastAsia" w:ascii="仿宋_GB2312" w:hAnsi="Times New Roman" w:eastAsia="仿宋_GB2312"/>
                <w:color w:val="000000"/>
                <w:szCs w:val="21"/>
              </w:rPr>
              <w:t>年</w:t>
            </w:r>
            <w:r>
              <w:rPr>
                <w:rFonts w:hint="eastAsia" w:ascii="仿宋_GB2312" w:hAnsi="Times New Roman" w:eastAsia="仿宋_GB2312"/>
                <w:color w:val="000000"/>
                <w:szCs w:val="21"/>
                <w:u w:val="single"/>
              </w:rPr>
              <w:t xml:space="preserve">   </w:t>
            </w:r>
            <w:r>
              <w:rPr>
                <w:rFonts w:hint="eastAsia" w:ascii="仿宋_GB2312" w:hAnsi="Times New Roman" w:eastAsia="仿宋_GB2312"/>
                <w:color w:val="000000"/>
                <w:szCs w:val="21"/>
              </w:rPr>
              <w:t>月</w:t>
            </w:r>
            <w:r>
              <w:rPr>
                <w:rFonts w:hint="eastAsia" w:ascii="仿宋_GB2312" w:hAnsi="Times New Roman" w:eastAsia="仿宋_GB2312"/>
                <w:color w:val="000000"/>
                <w:szCs w:val="21"/>
                <w:u w:val="single"/>
              </w:rPr>
              <w:t xml:space="preserve">   </w:t>
            </w:r>
            <w:r>
              <w:rPr>
                <w:rFonts w:hint="eastAsia" w:ascii="仿宋_GB2312" w:hAnsi="Times New Roman" w:eastAsia="仿宋_GB2312"/>
                <w:color w:val="000000"/>
                <w:szCs w:val="21"/>
              </w:rPr>
              <w:t>日至</w:t>
            </w:r>
            <w:r>
              <w:rPr>
                <w:rFonts w:hint="eastAsia" w:ascii="仿宋_GB2312" w:hAnsi="Times New Roman" w:eastAsia="仿宋_GB2312"/>
                <w:color w:val="000000"/>
                <w:szCs w:val="21"/>
                <w:u w:val="single"/>
              </w:rPr>
              <w:t xml:space="preserve">   </w:t>
            </w:r>
            <w:r>
              <w:rPr>
                <w:rFonts w:hint="eastAsia" w:ascii="仿宋_GB2312" w:hAnsi="Times New Roman" w:eastAsia="仿宋_GB2312"/>
                <w:color w:val="000000"/>
                <w:szCs w:val="21"/>
              </w:rPr>
              <w:t>年</w:t>
            </w:r>
            <w:r>
              <w:rPr>
                <w:rFonts w:hint="eastAsia" w:ascii="仿宋_GB2312" w:hAnsi="Times New Roman" w:eastAsia="仿宋_GB2312"/>
                <w:color w:val="000000"/>
                <w:szCs w:val="21"/>
                <w:u w:val="single"/>
              </w:rPr>
              <w:t xml:space="preserve">   </w:t>
            </w:r>
            <w:r>
              <w:rPr>
                <w:rFonts w:hint="eastAsia" w:ascii="仿宋_GB2312" w:hAnsi="Times New Roman" w:eastAsia="仿宋_GB2312"/>
                <w:color w:val="000000"/>
                <w:szCs w:val="21"/>
              </w:rPr>
              <w:t>月</w:t>
            </w:r>
            <w:r>
              <w:rPr>
                <w:rFonts w:hint="eastAsia" w:ascii="仿宋_GB2312" w:hAnsi="Times New Roman" w:eastAsia="仿宋_GB2312"/>
                <w:color w:val="000000"/>
                <w:szCs w:val="21"/>
                <w:u w:val="single"/>
              </w:rPr>
              <w:t xml:space="preserve">   </w:t>
            </w:r>
            <w:r>
              <w:rPr>
                <w:rFonts w:hint="eastAsia" w:ascii="仿宋_GB2312" w:hAnsi="Times New Roman" w:eastAsia="仿宋_GB2312"/>
                <w:color w:val="000000"/>
                <w:szCs w:val="21"/>
              </w:rPr>
              <w:t>日</w:t>
            </w:r>
          </w:p>
          <w:p>
            <w:pPr>
              <w:autoSpaceDN w:val="0"/>
              <w:spacing w:line="280" w:lineRule="exact"/>
              <w:ind w:right="1260" w:rightChars="600"/>
              <w:jc w:val="right"/>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经办机构</w:t>
            </w:r>
          </w:p>
          <w:p>
            <w:pPr>
              <w:autoSpaceDN w:val="0"/>
              <w:spacing w:line="280" w:lineRule="exact"/>
              <w:ind w:right="1260" w:rightChars="600"/>
              <w:jc w:val="right"/>
              <w:textAlignment w:val="center"/>
              <w:rPr>
                <w:rFonts w:ascii="仿宋_GB2312" w:hAnsi="Times New Roman" w:eastAsia="仿宋_GB2312"/>
                <w:color w:val="000000"/>
                <w:szCs w:val="21"/>
                <w:lang w:eastAsia="zh-Hans"/>
              </w:rPr>
            </w:pPr>
            <w:r>
              <w:rPr>
                <w:rFonts w:hint="eastAsia" w:ascii="仿宋_GB2312" w:hAnsi="Times New Roman" w:eastAsia="仿宋_GB2312"/>
                <w:color w:val="000000"/>
                <w:szCs w:val="21"/>
                <w:lang w:eastAsia="zh-Hans"/>
              </w:rPr>
              <w:t>（章）</w:t>
            </w:r>
          </w:p>
          <w:p>
            <w:pPr>
              <w:spacing w:line="280" w:lineRule="exact"/>
              <w:jc w:val="center"/>
              <w:rPr>
                <w:rFonts w:ascii="仿宋_GB2312" w:hAnsi="Times New Roman" w:eastAsia="仿宋_GB2312"/>
                <w:color w:val="000000"/>
                <w:szCs w:val="21"/>
              </w:rPr>
            </w:pPr>
            <w:r>
              <w:rPr>
                <w:rFonts w:hint="eastAsia" w:ascii="仿宋_GB2312" w:hAnsi="Times New Roman" w:eastAsia="仿宋_GB2312"/>
                <w:color w:val="000000"/>
                <w:szCs w:val="21"/>
                <w:lang w:eastAsia="zh-Hans"/>
              </w:rPr>
              <w:t xml:space="preserve">        经办人：                      年  月  日</w:t>
            </w:r>
          </w:p>
        </w:tc>
      </w:tr>
    </w:tbl>
    <w:p>
      <w:pPr>
        <w:widowControl/>
        <w:spacing w:after="40" w:line="240" w:lineRule="exact"/>
        <w:ind w:firstLine="11"/>
        <w:jc w:val="left"/>
        <w:rPr>
          <w:rFonts w:ascii="仿宋_GB2312" w:hAnsi="Times New Roman" w:eastAsia="仿宋_GB2312"/>
          <w:color w:val="000000"/>
          <w:szCs w:val="21"/>
        </w:rPr>
      </w:pPr>
      <w:r>
        <w:rPr>
          <w:rFonts w:hint="eastAsia" w:ascii="仿宋_GB2312" w:hAnsi="Times New Roman" w:eastAsia="仿宋_GB2312"/>
          <w:color w:val="000000"/>
          <w:szCs w:val="21"/>
        </w:rPr>
        <w:t>备注：1.本表一式二份，经办机构留存一份，</w:t>
      </w:r>
      <w:r>
        <w:rPr>
          <w:rFonts w:hint="eastAsia" w:ascii="仿宋_GB2312" w:hAnsi="Times New Roman" w:eastAsia="仿宋_GB2312"/>
          <w:color w:val="000000"/>
          <w:szCs w:val="21"/>
          <w:lang w:eastAsia="zh-Hans"/>
        </w:rPr>
        <w:t>申请人</w:t>
      </w:r>
      <w:r>
        <w:rPr>
          <w:rFonts w:hint="eastAsia" w:ascii="仿宋_GB2312" w:hAnsi="Times New Roman" w:eastAsia="仿宋_GB2312"/>
          <w:color w:val="000000"/>
          <w:szCs w:val="21"/>
        </w:rPr>
        <w:t>留存一份；</w:t>
      </w:r>
    </w:p>
    <w:p>
      <w:pPr>
        <w:widowControl/>
        <w:spacing w:after="40" w:line="240" w:lineRule="exact"/>
        <w:ind w:left="631" w:firstLine="11"/>
        <w:jc w:val="left"/>
        <w:rPr>
          <w:rFonts w:ascii="仿宋_GB2312" w:hAnsi="Times New Roman" w:eastAsia="仿宋_GB2312"/>
          <w:color w:val="000000"/>
          <w:szCs w:val="22"/>
        </w:rPr>
      </w:pPr>
      <w:r>
        <w:rPr>
          <w:rFonts w:hint="eastAsia" w:ascii="仿宋_GB2312" w:hAnsi="Times New Roman" w:eastAsia="仿宋_GB2312"/>
          <w:color w:val="000000"/>
          <w:szCs w:val="22"/>
        </w:rPr>
        <w:t>2.本表供工伤职工</w:t>
      </w:r>
      <w:r>
        <w:rPr>
          <w:rFonts w:hint="eastAsia" w:ascii="仿宋_GB2312" w:hAnsi="Times New Roman" w:eastAsia="仿宋_GB2312"/>
          <w:color w:val="000000"/>
          <w:szCs w:val="22"/>
          <w:lang w:eastAsia="zh-Hans"/>
        </w:rPr>
        <w:t>及其近亲属、用人单位</w:t>
      </w:r>
      <w:r>
        <w:rPr>
          <w:rFonts w:hint="eastAsia" w:ascii="仿宋_GB2312" w:hAnsi="Times New Roman" w:eastAsia="仿宋_GB2312"/>
          <w:color w:val="000000"/>
          <w:szCs w:val="22"/>
        </w:rPr>
        <w:t>申请备案使用，工伤职工近亲属申请的，另须提供其有效身份证明和与工伤职工</w:t>
      </w:r>
      <w:r>
        <w:rPr>
          <w:rFonts w:hint="eastAsia" w:ascii="仿宋_GB2312" w:hAnsi="Times New Roman" w:eastAsia="仿宋_GB2312"/>
          <w:color w:val="000000"/>
          <w:szCs w:val="22"/>
          <w:lang w:eastAsia="zh-Hans"/>
        </w:rPr>
        <w:t>的</w:t>
      </w:r>
      <w:r>
        <w:rPr>
          <w:rFonts w:hint="eastAsia" w:ascii="仿宋_GB2312" w:hAnsi="Times New Roman" w:eastAsia="仿宋_GB2312"/>
          <w:color w:val="000000"/>
          <w:szCs w:val="22"/>
        </w:rPr>
        <w:t>关系佐证材料，工伤职工委托他人申请的，另须提供授权委托书；</w:t>
      </w:r>
    </w:p>
    <w:p>
      <w:pPr>
        <w:widowControl/>
        <w:spacing w:after="40" w:line="240" w:lineRule="exact"/>
        <w:ind w:left="631" w:firstLine="11"/>
        <w:jc w:val="left"/>
        <w:rPr>
          <w:rFonts w:ascii="仿宋_GB2312" w:hAnsi="Times New Roman" w:eastAsia="仿宋_GB2312"/>
          <w:color w:val="000000"/>
          <w:szCs w:val="22"/>
        </w:rPr>
      </w:pPr>
      <w:r>
        <w:rPr>
          <w:rFonts w:hint="eastAsia" w:ascii="仿宋_GB2312" w:hAnsi="Times New Roman" w:eastAsia="仿宋_GB2312"/>
          <w:color w:val="000000"/>
          <w:szCs w:val="22"/>
        </w:rPr>
        <w:t>3.转外配置辅助器具工伤职工另须提供参保地协议机构转外配置意见</w:t>
      </w:r>
      <w:r>
        <w:rPr>
          <w:rFonts w:hint="eastAsia" w:ascii="仿宋_GB2312" w:hAnsi="Times New Roman" w:eastAsia="仿宋_GB2312"/>
          <w:color w:val="000000"/>
          <w:szCs w:val="22"/>
          <w:lang w:eastAsia="zh-Hans"/>
        </w:rPr>
        <w:t>；</w:t>
      </w:r>
    </w:p>
    <w:p>
      <w:pPr>
        <w:widowControl/>
        <w:spacing w:after="40" w:line="240" w:lineRule="exact"/>
        <w:ind w:left="631" w:firstLine="11"/>
        <w:jc w:val="left"/>
        <w:rPr>
          <w:rFonts w:ascii="仿宋_GB2312" w:hAnsi="Times New Roman" w:eastAsia="仿宋_GB2312"/>
          <w:color w:val="000000"/>
          <w:szCs w:val="22"/>
        </w:rPr>
      </w:pPr>
      <w:r>
        <w:rPr>
          <w:rFonts w:hint="eastAsia" w:ascii="仿宋_GB2312" w:hAnsi="Times New Roman" w:eastAsia="仿宋_GB2312"/>
          <w:color w:val="000000"/>
          <w:szCs w:val="22"/>
        </w:rPr>
        <w:t>4.异地长期居住工伤职工，居住地为户籍所在地的另须提供户籍相关材料、居住地为非户籍所在地的须提供长期居住佐证材料</w:t>
      </w:r>
      <w:r>
        <w:rPr>
          <w:rFonts w:hint="eastAsia" w:ascii="仿宋_GB2312" w:hAnsi="Times New Roman" w:eastAsia="仿宋_GB2312"/>
          <w:color w:val="000000"/>
          <w:szCs w:val="22"/>
          <w:lang w:eastAsia="zh-Hans"/>
        </w:rPr>
        <w:t>；</w:t>
      </w:r>
    </w:p>
    <w:p>
      <w:pPr>
        <w:widowControl/>
        <w:spacing w:after="40" w:line="240" w:lineRule="exact"/>
        <w:ind w:left="631" w:firstLine="11"/>
        <w:jc w:val="left"/>
        <w:rPr>
          <w:rFonts w:ascii="仿宋_GB2312" w:hAnsi="Times New Roman" w:eastAsia="仿宋_GB2312"/>
          <w:color w:val="000000"/>
          <w:szCs w:val="22"/>
        </w:rPr>
      </w:pPr>
      <w:r>
        <w:rPr>
          <w:rFonts w:hint="eastAsia" w:ascii="仿宋_GB2312" w:hAnsi="Times New Roman" w:eastAsia="仿宋_GB2312"/>
          <w:color w:val="000000"/>
          <w:szCs w:val="22"/>
        </w:rPr>
        <w:t>5.常驻异地工作工伤职工，另须提供常驻异地工作的佐证材料（参保地工作单位派出证明、异地工作单位证明、劳动合同等）。</w:t>
      </w: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附件13-正面</w:t>
      </w:r>
    </w:p>
    <w:p>
      <w:pPr>
        <w:widowControl/>
        <w:spacing w:after="40" w:line="400" w:lineRule="exact"/>
        <w:jc w:val="left"/>
        <w:rPr>
          <w:rFonts w:ascii="仿宋_GB2312" w:hAnsi="黑体" w:eastAsia="仿宋_GB2312"/>
          <w:color w:val="000000"/>
          <w:sz w:val="32"/>
        </w:rPr>
      </w:pP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工伤保险经办业务证明事项告知承诺制</w:t>
      </w: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告  知  书</w:t>
      </w:r>
    </w:p>
    <w:p>
      <w:pPr>
        <w:spacing w:after="156" w:afterLines="50" w:line="360" w:lineRule="exact"/>
        <w:ind w:firstLine="480" w:firstLineChars="200"/>
        <w:rPr>
          <w:rFonts w:ascii="仿宋_GB2312" w:hAnsi="Times New Roman" w:eastAsia="仿宋_GB2312"/>
          <w:color w:val="000000"/>
          <w:sz w:val="24"/>
        </w:rPr>
      </w:pPr>
    </w:p>
    <w:p>
      <w:pPr>
        <w:spacing w:after="156" w:afterLines="50" w:line="360" w:lineRule="exact"/>
        <w:ind w:firstLine="480" w:firstLineChars="200"/>
        <w:rPr>
          <w:rFonts w:ascii="仿宋_GB2312" w:hAnsi="Times New Roman" w:eastAsia="仿宋_GB2312"/>
          <w:color w:val="000000"/>
          <w:sz w:val="24"/>
        </w:rPr>
      </w:pPr>
      <w:r>
        <w:rPr>
          <w:rFonts w:hint="eastAsia" w:ascii="仿宋_GB2312" w:hAnsi="Times New Roman" w:eastAsia="仿宋_GB2312"/>
          <w:color w:val="000000"/>
          <w:sz w:val="24"/>
        </w:rPr>
        <w:t>一、按照</w:t>
      </w:r>
      <w:r>
        <w:rPr>
          <w:rFonts w:hint="eastAsia" w:ascii="仿宋_GB2312" w:hAnsi="Times New Roman" w:eastAsia="仿宋_GB2312"/>
          <w:color w:val="000000"/>
          <w:kern w:val="0"/>
          <w:sz w:val="24"/>
        </w:rPr>
        <w:t>《人力资源社会保障部办公厅关于印发&lt;人力资源社会保障系统开展证明事项告知承诺制试点工作实施方案&gt;的通知》（人社厅发〔2019〕71号）要求，</w:t>
      </w:r>
      <w:r>
        <w:rPr>
          <w:rFonts w:hint="eastAsia" w:ascii="仿宋_GB2312" w:hAnsi="Times New Roman" w:eastAsia="仿宋_GB2312"/>
          <w:color w:val="000000"/>
          <w:sz w:val="24"/>
        </w:rPr>
        <w:t>本社会保险经办业务证明事项实行告知承诺制。</w:t>
      </w:r>
    </w:p>
    <w:p>
      <w:pPr>
        <w:spacing w:after="156" w:afterLines="50" w:line="360" w:lineRule="exact"/>
        <w:ind w:firstLine="480" w:firstLineChars="200"/>
        <w:rPr>
          <w:rFonts w:ascii="仿宋_GB2312" w:hAnsi="Times New Roman" w:eastAsia="仿宋_GB2312"/>
          <w:color w:val="000000"/>
          <w:sz w:val="24"/>
        </w:rPr>
      </w:pPr>
      <w:r>
        <w:rPr>
          <w:rFonts w:hint="eastAsia" w:ascii="仿宋_GB2312" w:hAnsi="Times New Roman" w:eastAsia="仿宋_GB2312"/>
          <w:color w:val="000000"/>
          <w:kern w:val="0"/>
          <w:sz w:val="24"/>
        </w:rPr>
        <w:t>二、办事对象</w:t>
      </w:r>
      <w:r>
        <w:rPr>
          <w:rFonts w:hint="eastAsia" w:ascii="仿宋_GB2312" w:hAnsi="Times New Roman" w:eastAsia="仿宋_GB2312"/>
          <w:color w:val="000000"/>
          <w:sz w:val="24"/>
        </w:rPr>
        <w:t>须知晓本事项相关办理条件，有义务如实提交本人相关信息，并签署《社会保险经办业务证明事项告知承诺制承诺书》，原则上不允许代为承诺。不具备民事行为能力或书写能力的办事对象，经社会保险经办机构同意后，可由其法定监护人代为承诺。</w:t>
      </w:r>
    </w:p>
    <w:p>
      <w:pPr>
        <w:spacing w:after="156" w:afterLines="50" w:line="360" w:lineRule="exact"/>
        <w:ind w:firstLine="480" w:firstLineChars="200"/>
        <w:rPr>
          <w:rFonts w:ascii="仿宋_GB2312" w:hAnsi="Times New Roman" w:eastAsia="仿宋_GB2312"/>
          <w:color w:val="000000"/>
          <w:sz w:val="24"/>
        </w:rPr>
      </w:pPr>
      <w:r>
        <w:rPr>
          <w:rFonts w:hint="eastAsia" w:ascii="仿宋_GB2312" w:hAnsi="Times New Roman" w:eastAsia="仿宋_GB2312"/>
          <w:color w:val="000000"/>
          <w:sz w:val="24"/>
        </w:rPr>
        <w:t>三、办事对象办理指定业务时，不再需要提交部分证明材料，具体证明名称及适用事项见附表。社会保险经办机构依据办事对象作出的承诺为其办理相关业务，并通过部门内、部门间核查等方式对承诺内容进行核实，对于无法核实的内容，可以要求办事对象提交必要的相关证明。办理流程和结果接受社会监督举报。</w:t>
      </w:r>
    </w:p>
    <w:p>
      <w:pPr>
        <w:spacing w:after="156" w:afterLines="50" w:line="360" w:lineRule="exact"/>
        <w:ind w:firstLine="480" w:firstLineChars="200"/>
        <w:rPr>
          <w:rFonts w:ascii="仿宋_GB2312" w:hAnsi="Times New Roman" w:eastAsia="仿宋_GB2312"/>
          <w:color w:val="000000"/>
          <w:sz w:val="24"/>
        </w:rPr>
      </w:pPr>
      <w:r>
        <w:rPr>
          <w:rFonts w:hint="eastAsia" w:ascii="仿宋_GB2312" w:hAnsi="Times New Roman" w:eastAsia="仿宋_GB2312"/>
          <w:color w:val="000000"/>
          <w:sz w:val="24"/>
        </w:rPr>
        <w:t>四、办事对象有较严重的不良信用记录或曾作出虚假承诺的，不适用告知承诺制。上述办事对象须按社会保险经办机构《社会保险公共服务事项办事指南》中的规定办理相关事项。</w:t>
      </w:r>
    </w:p>
    <w:p>
      <w:pPr>
        <w:spacing w:after="156" w:afterLines="50" w:line="360" w:lineRule="exact"/>
        <w:ind w:firstLine="480" w:firstLineChars="200"/>
        <w:rPr>
          <w:rFonts w:ascii="仿宋_GB2312" w:hAnsi="Times New Roman" w:eastAsia="仿宋_GB2312"/>
          <w:color w:val="000000"/>
          <w:sz w:val="24"/>
        </w:rPr>
      </w:pPr>
      <w:r>
        <w:rPr>
          <w:rFonts w:hint="eastAsia" w:ascii="仿宋_GB2312" w:hAnsi="Times New Roman" w:eastAsia="仿宋_GB2312"/>
          <w:color w:val="000000"/>
          <w:sz w:val="24"/>
        </w:rPr>
        <w:t>五、办事对象不符合相关办理条件，或者未按照社会保险经办机构要求办理相关事项的，不予进行告知承诺和业务办理。办事对象有故意隐瞒真实情况、提供虚假承诺或者以其他不正当手段取得相应证明材料等严重违纪违规行为的，依法依规进行处理，纳入社会保险领域严重失信人名单，由相关部门实施联合惩戒。失信人员信息视情况向社会公布，涉嫌犯罪的，移送司法机关处理。</w:t>
      </w:r>
    </w:p>
    <w:p>
      <w:pPr>
        <w:snapToGrid w:val="0"/>
        <w:ind w:firstLine="480" w:firstLineChars="200"/>
        <w:jc w:val="center"/>
        <w:rPr>
          <w:rFonts w:ascii="仿宋_GB2312" w:hAnsi="Times New Roman" w:eastAsia="仿宋_GB2312"/>
          <w:color w:val="000000"/>
          <w:sz w:val="24"/>
        </w:rPr>
      </w:pPr>
      <w:r>
        <w:rPr>
          <w:rFonts w:hint="eastAsia" w:ascii="仿宋_GB2312" w:hAnsi="Times New Roman" w:eastAsia="仿宋_GB2312"/>
          <w:color w:val="000000"/>
          <w:sz w:val="24"/>
        </w:rPr>
        <w:t>证明事项告知承诺制试点范围</w:t>
      </w:r>
    </w:p>
    <w:tbl>
      <w:tblPr>
        <w:tblStyle w:val="24"/>
        <w:tblW w:w="894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9"/>
        <w:gridCol w:w="4293"/>
        <w:gridCol w:w="3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9" w:type="dxa"/>
            <w:vAlign w:val="center"/>
          </w:tcPr>
          <w:p>
            <w:pPr>
              <w:snapToGrid w:val="0"/>
              <w:spacing w:line="28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序号</w:t>
            </w:r>
          </w:p>
        </w:tc>
        <w:tc>
          <w:tcPr>
            <w:tcW w:w="4293" w:type="dxa"/>
            <w:vAlign w:val="center"/>
          </w:tcPr>
          <w:p>
            <w:pPr>
              <w:snapToGrid w:val="0"/>
              <w:spacing w:line="280" w:lineRule="exact"/>
              <w:ind w:left="-109" w:leftChars="-52" w:firstLine="93" w:firstLineChars="39"/>
              <w:jc w:val="center"/>
              <w:rPr>
                <w:rFonts w:ascii="仿宋_GB2312" w:hAnsi="Times New Roman" w:eastAsia="仿宋_GB2312"/>
                <w:color w:val="000000"/>
                <w:sz w:val="24"/>
              </w:rPr>
            </w:pPr>
            <w:r>
              <w:rPr>
                <w:rFonts w:hint="eastAsia" w:ascii="仿宋_GB2312" w:hAnsi="Times New Roman" w:eastAsia="仿宋_GB2312"/>
                <w:color w:val="000000"/>
                <w:sz w:val="24"/>
              </w:rPr>
              <w:t>证明名称</w:t>
            </w:r>
          </w:p>
        </w:tc>
        <w:tc>
          <w:tcPr>
            <w:tcW w:w="3985" w:type="dxa"/>
            <w:vAlign w:val="center"/>
          </w:tcPr>
          <w:p>
            <w:pPr>
              <w:snapToGrid w:val="0"/>
              <w:spacing w:line="28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适用事项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69" w:type="dxa"/>
            <w:vAlign w:val="center"/>
          </w:tcPr>
          <w:p>
            <w:pPr>
              <w:snapToGrid w:val="0"/>
              <w:spacing w:line="28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1</w:t>
            </w:r>
          </w:p>
        </w:tc>
        <w:tc>
          <w:tcPr>
            <w:tcW w:w="4293" w:type="dxa"/>
            <w:vAlign w:val="center"/>
          </w:tcPr>
          <w:p>
            <w:pPr>
              <w:snapToGrid w:val="0"/>
              <w:spacing w:line="280" w:lineRule="exact"/>
              <w:rPr>
                <w:rFonts w:ascii="仿宋_GB2312" w:hAnsi="Times New Roman" w:eastAsia="仿宋_GB2312"/>
                <w:color w:val="000000"/>
                <w:sz w:val="24"/>
              </w:rPr>
            </w:pPr>
            <w:r>
              <w:rPr>
                <w:rFonts w:hint="eastAsia" w:ascii="仿宋_GB2312" w:hAnsi="Times New Roman" w:eastAsia="仿宋_GB2312"/>
                <w:color w:val="000000"/>
                <w:sz w:val="24"/>
              </w:rPr>
              <w:t>依靠工亡职工生前提供主要生活来源的证明</w:t>
            </w:r>
          </w:p>
        </w:tc>
        <w:tc>
          <w:tcPr>
            <w:tcW w:w="3985" w:type="dxa"/>
            <w:vAlign w:val="center"/>
          </w:tcPr>
          <w:p>
            <w:pPr>
              <w:snapToGrid w:val="0"/>
              <w:spacing w:line="280" w:lineRule="exact"/>
              <w:rPr>
                <w:rFonts w:ascii="仿宋_GB2312" w:hAnsi="Times New Roman" w:eastAsia="仿宋_GB2312"/>
                <w:color w:val="000000"/>
                <w:sz w:val="24"/>
              </w:rPr>
            </w:pPr>
            <w:r>
              <w:rPr>
                <w:rFonts w:hint="eastAsia" w:ascii="仿宋_GB2312" w:hAnsi="Times New Roman" w:eastAsia="仿宋_GB2312"/>
                <w:color w:val="000000"/>
                <w:sz w:val="24"/>
              </w:rPr>
              <w:t>供养亲属抚恤金申领（工伤保险服务）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69" w:type="dxa"/>
            <w:vAlign w:val="center"/>
          </w:tcPr>
          <w:p>
            <w:pPr>
              <w:snapToGrid w:val="0"/>
              <w:spacing w:line="28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2</w:t>
            </w:r>
          </w:p>
        </w:tc>
        <w:tc>
          <w:tcPr>
            <w:tcW w:w="4293" w:type="dxa"/>
            <w:vAlign w:val="center"/>
          </w:tcPr>
          <w:p>
            <w:pPr>
              <w:snapToGrid w:val="0"/>
              <w:spacing w:line="280" w:lineRule="exact"/>
              <w:rPr>
                <w:rFonts w:ascii="仿宋_GB2312" w:hAnsi="Times New Roman" w:eastAsia="仿宋_GB2312"/>
                <w:color w:val="000000"/>
                <w:sz w:val="24"/>
              </w:rPr>
            </w:pPr>
            <w:r>
              <w:rPr>
                <w:rFonts w:hint="eastAsia" w:ascii="仿宋_GB2312" w:hAnsi="Times New Roman" w:eastAsia="仿宋_GB2312"/>
                <w:color w:val="000000"/>
                <w:sz w:val="24"/>
              </w:rPr>
              <w:t>在校学生提供学校就读证明</w:t>
            </w:r>
          </w:p>
        </w:tc>
        <w:tc>
          <w:tcPr>
            <w:tcW w:w="3985" w:type="dxa"/>
            <w:vAlign w:val="center"/>
          </w:tcPr>
          <w:p>
            <w:pPr>
              <w:snapToGrid w:val="0"/>
              <w:spacing w:line="280" w:lineRule="exact"/>
              <w:rPr>
                <w:rFonts w:ascii="仿宋_GB2312" w:hAnsi="Times New Roman" w:eastAsia="仿宋_GB2312"/>
                <w:color w:val="000000"/>
                <w:sz w:val="24"/>
              </w:rPr>
            </w:pPr>
            <w:r>
              <w:rPr>
                <w:rFonts w:hint="eastAsia" w:ascii="仿宋_GB2312" w:hAnsi="Times New Roman" w:eastAsia="仿宋_GB2312"/>
                <w:color w:val="000000"/>
                <w:sz w:val="24"/>
              </w:rPr>
              <w:t>供养亲属抚恤金申领（工伤保险服务）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69" w:type="dxa"/>
            <w:vAlign w:val="center"/>
          </w:tcPr>
          <w:p>
            <w:pPr>
              <w:snapToGrid w:val="0"/>
              <w:spacing w:line="28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3</w:t>
            </w:r>
          </w:p>
        </w:tc>
        <w:tc>
          <w:tcPr>
            <w:tcW w:w="4293" w:type="dxa"/>
            <w:vAlign w:val="center"/>
          </w:tcPr>
          <w:p>
            <w:pPr>
              <w:snapToGrid w:val="0"/>
              <w:spacing w:line="280" w:lineRule="exact"/>
              <w:rPr>
                <w:rFonts w:ascii="仿宋_GB2312" w:hAnsi="Times New Roman" w:eastAsia="仿宋_GB2312"/>
                <w:color w:val="000000"/>
                <w:sz w:val="24"/>
              </w:rPr>
            </w:pPr>
            <w:r>
              <w:rPr>
                <w:rFonts w:hint="eastAsia" w:ascii="仿宋_GB2312" w:hAnsi="Times New Roman" w:eastAsia="仿宋_GB2312"/>
                <w:color w:val="000000"/>
                <w:sz w:val="24"/>
              </w:rPr>
              <w:t>工亡职工供养亲属健在证明</w:t>
            </w:r>
          </w:p>
        </w:tc>
        <w:tc>
          <w:tcPr>
            <w:tcW w:w="3985" w:type="dxa"/>
            <w:vAlign w:val="center"/>
          </w:tcPr>
          <w:p>
            <w:pPr>
              <w:snapToGrid w:val="0"/>
              <w:spacing w:line="280" w:lineRule="exact"/>
              <w:rPr>
                <w:rFonts w:ascii="仿宋_GB2312" w:hAnsi="Times New Roman" w:eastAsia="仿宋_GB2312"/>
                <w:color w:val="000000"/>
                <w:sz w:val="24"/>
              </w:rPr>
            </w:pPr>
            <w:r>
              <w:rPr>
                <w:rFonts w:hint="eastAsia" w:ascii="仿宋_GB2312" w:hAnsi="Times New Roman" w:eastAsia="仿宋_GB2312"/>
                <w:color w:val="000000"/>
                <w:sz w:val="24"/>
              </w:rPr>
              <w:t>供养亲属抚恤金申领（工伤保险服务）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69" w:type="dxa"/>
            <w:vAlign w:val="center"/>
          </w:tcPr>
          <w:p>
            <w:pPr>
              <w:snapToGrid w:val="0"/>
              <w:spacing w:line="280" w:lineRule="exact"/>
              <w:jc w:val="center"/>
              <w:rPr>
                <w:rFonts w:ascii="仿宋_GB2312" w:hAnsi="Times New Roman" w:eastAsia="仿宋_GB2312"/>
                <w:color w:val="000000"/>
                <w:sz w:val="24"/>
              </w:rPr>
            </w:pPr>
            <w:r>
              <w:rPr>
                <w:rFonts w:hint="eastAsia" w:ascii="仿宋_GB2312" w:hAnsi="Times New Roman" w:eastAsia="仿宋_GB2312"/>
                <w:color w:val="000000"/>
                <w:sz w:val="24"/>
              </w:rPr>
              <w:t>4</w:t>
            </w:r>
          </w:p>
        </w:tc>
        <w:tc>
          <w:tcPr>
            <w:tcW w:w="4293" w:type="dxa"/>
            <w:vAlign w:val="center"/>
          </w:tcPr>
          <w:p>
            <w:pPr>
              <w:snapToGrid w:val="0"/>
              <w:spacing w:line="280" w:lineRule="exact"/>
              <w:rPr>
                <w:rFonts w:ascii="仿宋_GB2312" w:hAnsi="Times New Roman" w:eastAsia="仿宋_GB2312"/>
                <w:color w:val="000000"/>
                <w:sz w:val="24"/>
              </w:rPr>
            </w:pPr>
            <w:r>
              <w:rPr>
                <w:rFonts w:hint="eastAsia" w:ascii="仿宋_GB2312" w:hAnsi="Times New Roman" w:eastAsia="仿宋_GB2312"/>
                <w:color w:val="000000"/>
                <w:sz w:val="24"/>
              </w:rPr>
              <w:t>工亡职工配偶未再婚证明</w:t>
            </w:r>
          </w:p>
        </w:tc>
        <w:tc>
          <w:tcPr>
            <w:tcW w:w="3985" w:type="dxa"/>
            <w:vAlign w:val="center"/>
          </w:tcPr>
          <w:p>
            <w:pPr>
              <w:snapToGrid w:val="0"/>
              <w:spacing w:line="280" w:lineRule="exact"/>
              <w:rPr>
                <w:rFonts w:ascii="仿宋_GB2312" w:hAnsi="Times New Roman" w:eastAsia="仿宋_GB2312"/>
                <w:color w:val="000000"/>
                <w:sz w:val="24"/>
              </w:rPr>
            </w:pPr>
            <w:r>
              <w:rPr>
                <w:rFonts w:hint="eastAsia" w:ascii="仿宋_GB2312" w:hAnsi="Times New Roman" w:eastAsia="仿宋_GB2312"/>
                <w:color w:val="000000"/>
                <w:sz w:val="24"/>
              </w:rPr>
              <w:t>供养亲属抚恤金申领（工伤保险服务）</w:t>
            </w:r>
          </w:p>
        </w:tc>
      </w:tr>
    </w:tbl>
    <w:p>
      <w:pPr>
        <w:snapToGrid w:val="0"/>
        <w:jc w:val="left"/>
        <w:rPr>
          <w:rFonts w:ascii="仿宋_GB2312" w:hAnsi="黑体" w:eastAsia="仿宋_GB2312"/>
          <w:color w:val="000000"/>
          <w:sz w:val="24"/>
        </w:rPr>
        <w:sectPr>
          <w:pgSz w:w="11906" w:h="16838"/>
          <w:pgMar w:top="1440" w:right="1800" w:bottom="1276" w:left="1800" w:header="851" w:footer="850" w:gutter="0"/>
          <w:cols w:space="720" w:num="1"/>
          <w:docGrid w:type="lines" w:linePitch="312" w:charSpace="0"/>
        </w:sectPr>
      </w:pP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附件13-背面</w:t>
      </w:r>
    </w:p>
    <w:p>
      <w:pPr>
        <w:snapToGrid w:val="0"/>
        <w:jc w:val="center"/>
        <w:rPr>
          <w:rFonts w:ascii="仿宋_GB2312" w:hAnsi="Times New Roman" w:eastAsia="仿宋_GB2312"/>
          <w:bCs/>
          <w:color w:val="000000"/>
          <w:sz w:val="36"/>
        </w:rPr>
      </w:pP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社会保险经办业务证明事项告知承诺制</w:t>
      </w: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承  诺  书</w:t>
      </w:r>
    </w:p>
    <w:p>
      <w:pPr>
        <w:snapToGrid w:val="0"/>
        <w:jc w:val="center"/>
        <w:rPr>
          <w:rFonts w:ascii="仿宋_GB2312" w:hAnsi="Times New Roman" w:eastAsia="仿宋_GB2312"/>
          <w:b/>
          <w:color w:val="000000"/>
          <w:sz w:val="36"/>
        </w:rPr>
      </w:pPr>
    </w:p>
    <w:tbl>
      <w:tblPr>
        <w:tblStyle w:val="2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jc w:val="left"/>
              <w:rPr>
                <w:rFonts w:ascii="仿宋_GB2312" w:hAnsi="Times New Roman" w:eastAsia="仿宋_GB2312"/>
                <w:color w:val="000000"/>
                <w:sz w:val="24"/>
              </w:rPr>
            </w:pPr>
            <w:r>
              <w:rPr>
                <w:rFonts w:hint="eastAsia" w:ascii="仿宋_GB2312" w:hAnsi="Times New Roman" w:eastAsia="仿宋_GB2312"/>
                <w:color w:val="000000"/>
                <w:sz w:val="24"/>
              </w:rPr>
              <w:t>申请人：</w:t>
            </w:r>
            <w:r>
              <w:rPr>
                <w:rFonts w:hint="eastAsia" w:ascii="仿宋_GB2312" w:hAnsi="Times New Roman" w:eastAsia="仿宋_GB2312"/>
                <w:color w:val="000000"/>
                <w:sz w:val="24"/>
                <w:u w:val="single"/>
              </w:rPr>
              <w:t xml:space="preserve">                    </w:t>
            </w:r>
          </w:p>
        </w:tc>
        <w:tc>
          <w:tcPr>
            <w:tcW w:w="4261" w:type="dxa"/>
          </w:tcPr>
          <w:p>
            <w:pPr>
              <w:spacing w:line="276" w:lineRule="auto"/>
              <w:jc w:val="left"/>
              <w:rPr>
                <w:rFonts w:ascii="仿宋_GB2312" w:hAnsi="Times New Roman" w:eastAsia="仿宋_GB2312"/>
                <w:color w:val="000000"/>
                <w:sz w:val="24"/>
              </w:rPr>
            </w:pPr>
            <w:r>
              <w:rPr>
                <w:rFonts w:hint="eastAsia" w:ascii="仿宋_GB2312" w:hAnsi="Times New Roman" w:eastAsia="仿宋_GB2312"/>
                <w:color w:val="000000"/>
                <w:sz w:val="24"/>
              </w:rPr>
              <w:t>身份证件号：</w:t>
            </w:r>
            <w:r>
              <w:rPr>
                <w:rFonts w:hint="eastAsia" w:ascii="仿宋_GB2312" w:hAnsi="Times New Roman" w:eastAsia="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pacing w:line="400" w:lineRule="exact"/>
              <w:jc w:val="left"/>
              <w:rPr>
                <w:rFonts w:ascii="仿宋_GB2312" w:hAnsi="Times New Roman" w:eastAsia="仿宋_GB2312"/>
                <w:color w:val="000000"/>
                <w:sz w:val="24"/>
              </w:rPr>
            </w:pPr>
            <w:r>
              <w:rPr>
                <w:rFonts w:hint="eastAsia" w:ascii="仿宋_GB2312" w:hAnsi="Times New Roman" w:eastAsia="仿宋_GB2312"/>
                <w:color w:val="000000"/>
                <w:sz w:val="24"/>
              </w:rPr>
              <w:t>办理业务及证明材料（勾选并补充完整）：</w:t>
            </w:r>
          </w:p>
          <w:p>
            <w:pPr>
              <w:spacing w:line="400" w:lineRule="exact"/>
              <w:ind w:left="420" w:leftChars="200"/>
              <w:jc w:val="left"/>
              <w:rPr>
                <w:rFonts w:ascii="仿宋_GB2312" w:hAnsi="Times New Roman" w:eastAsia="仿宋_GB2312"/>
                <w:color w:val="000000"/>
                <w:sz w:val="24"/>
              </w:rPr>
            </w:pPr>
            <w:r>
              <w:rPr>
                <w:rFonts w:hint="eastAsia" w:ascii="仿宋_GB2312" w:hAnsi="Times New Roman" w:eastAsia="仿宋_GB2312"/>
                <w:color w:val="000000"/>
                <w:sz w:val="24"/>
              </w:rPr>
              <w:t>□</w:t>
            </w:r>
            <w:r>
              <w:rPr>
                <w:rFonts w:hint="eastAsia" w:ascii="仿宋_GB2312" w:hAnsi="Times New Roman" w:eastAsia="仿宋_GB2312"/>
                <w:b/>
                <w:color w:val="000000"/>
                <w:sz w:val="24"/>
              </w:rPr>
              <w:t>供养亲属抚恤金申领</w:t>
            </w:r>
            <w:r>
              <w:rPr>
                <w:rFonts w:hint="eastAsia" w:ascii="仿宋_GB2312" w:hAnsi="Times New Roman" w:eastAsia="仿宋_GB2312"/>
                <w:color w:val="000000"/>
                <w:sz w:val="24"/>
              </w:rPr>
              <w:t>：</w:t>
            </w:r>
          </w:p>
          <w:p>
            <w:pPr>
              <w:spacing w:line="400" w:lineRule="exact"/>
              <w:ind w:left="420" w:leftChars="200" w:firstLine="360" w:firstLineChars="150"/>
              <w:jc w:val="left"/>
              <w:rPr>
                <w:rFonts w:ascii="仿宋_GB2312" w:hAnsi="Times New Roman" w:eastAsia="仿宋_GB2312"/>
                <w:color w:val="000000"/>
                <w:sz w:val="24"/>
              </w:rPr>
            </w:pPr>
            <w:r>
              <w:rPr>
                <w:rFonts w:hint="eastAsia" w:ascii="仿宋_GB2312" w:hAnsi="Times New Roman" w:eastAsia="仿宋_GB2312"/>
                <w:color w:val="000000"/>
                <w:sz w:val="24"/>
              </w:rPr>
              <w:t>□</w:t>
            </w:r>
            <w:r>
              <w:rPr>
                <w:rFonts w:hint="eastAsia" w:ascii="仿宋_GB2312" w:hAnsi="Times New Roman" w:eastAsia="仿宋_GB2312"/>
                <w:b/>
                <w:color w:val="000000"/>
                <w:sz w:val="24"/>
              </w:rPr>
              <w:t>工亡职工配偶未再婚承诺</w:t>
            </w:r>
            <w:r>
              <w:rPr>
                <w:rFonts w:hint="eastAsia" w:ascii="仿宋_GB2312" w:hAnsi="Times New Roman" w:eastAsia="仿宋_GB2312"/>
                <w:color w:val="000000"/>
                <w:sz w:val="24"/>
              </w:rPr>
              <w:t>：</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（填写姓名）依靠工亡职工</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（填写姓名）生前提供主要生活来源，至今未再婚。</w:t>
            </w:r>
          </w:p>
          <w:p>
            <w:pPr>
              <w:spacing w:line="400" w:lineRule="exact"/>
              <w:ind w:left="420" w:leftChars="200" w:firstLine="360" w:firstLineChars="150"/>
              <w:jc w:val="left"/>
              <w:rPr>
                <w:rFonts w:ascii="仿宋_GB2312" w:hAnsi="Times New Roman" w:eastAsia="仿宋_GB2312"/>
                <w:color w:val="000000"/>
                <w:sz w:val="24"/>
              </w:rPr>
            </w:pPr>
            <w:r>
              <w:rPr>
                <w:rFonts w:hint="eastAsia" w:ascii="仿宋_GB2312" w:hAnsi="Times New Roman" w:eastAsia="仿宋_GB2312"/>
                <w:color w:val="000000"/>
                <w:sz w:val="24"/>
              </w:rPr>
              <w:t>□</w:t>
            </w:r>
            <w:r>
              <w:rPr>
                <w:rFonts w:hint="eastAsia" w:ascii="仿宋_GB2312" w:hAnsi="Times New Roman" w:eastAsia="仿宋_GB2312"/>
                <w:b/>
                <w:color w:val="000000"/>
                <w:sz w:val="24"/>
              </w:rPr>
              <w:t>供养亲属健在承诺</w:t>
            </w:r>
            <w:r>
              <w:rPr>
                <w:rFonts w:hint="eastAsia" w:ascii="仿宋_GB2312" w:hAnsi="Times New Roman" w:eastAsia="仿宋_GB2312"/>
                <w:color w:val="000000"/>
                <w:sz w:val="24"/>
              </w:rPr>
              <w:t>：</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（填写姓名）依靠工亡职工</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（填写姓名）生前提供主要生活来源，健在。</w:t>
            </w:r>
          </w:p>
          <w:p>
            <w:pPr>
              <w:spacing w:line="400" w:lineRule="exact"/>
              <w:ind w:left="420" w:leftChars="200" w:firstLine="360" w:firstLineChars="150"/>
              <w:jc w:val="left"/>
              <w:rPr>
                <w:rFonts w:ascii="仿宋_GB2312" w:hAnsi="Times New Roman" w:eastAsia="仿宋_GB2312"/>
                <w:color w:val="000000"/>
                <w:sz w:val="24"/>
              </w:rPr>
            </w:pPr>
            <w:r>
              <w:rPr>
                <w:rFonts w:hint="eastAsia" w:ascii="仿宋_GB2312" w:hAnsi="Times New Roman" w:eastAsia="仿宋_GB2312"/>
                <w:color w:val="000000"/>
                <w:sz w:val="24"/>
              </w:rPr>
              <w:t>□</w:t>
            </w:r>
            <w:r>
              <w:rPr>
                <w:rFonts w:hint="eastAsia" w:ascii="仿宋_GB2312" w:hAnsi="Times New Roman" w:eastAsia="仿宋_GB2312"/>
                <w:b/>
                <w:color w:val="000000"/>
                <w:sz w:val="24"/>
              </w:rPr>
              <w:t>在校学生就读承诺</w:t>
            </w:r>
            <w:r>
              <w:rPr>
                <w:rFonts w:hint="eastAsia" w:ascii="仿宋_GB2312" w:hAnsi="Times New Roman" w:eastAsia="仿宋_GB2312"/>
                <w:color w:val="000000"/>
                <w:sz w:val="24"/>
              </w:rPr>
              <w:t>：</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（填写姓名）依靠工亡职工</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（填写姓名）生前提供主要生活来源，就读于</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学校（自</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年</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月至</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年</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月）。</w:t>
            </w:r>
          </w:p>
          <w:p>
            <w:pPr>
              <w:spacing w:line="400" w:lineRule="exact"/>
              <w:ind w:left="420" w:leftChars="200" w:firstLine="360" w:firstLineChars="150"/>
              <w:jc w:val="left"/>
              <w:rPr>
                <w:rFonts w:ascii="仿宋_GB2312" w:hAnsi="Times New Roman" w:eastAsia="仿宋_GB2312"/>
                <w:color w:val="000000"/>
                <w:sz w:val="24"/>
              </w:rPr>
            </w:pPr>
            <w:r>
              <w:rPr>
                <w:rFonts w:hint="eastAsia" w:ascii="仿宋_GB2312" w:hAnsi="Times New Roman" w:eastAsia="仿宋_GB2312"/>
                <w:color w:val="000000"/>
                <w:sz w:val="24"/>
              </w:rPr>
              <w:t>□</w:t>
            </w:r>
            <w:r>
              <w:rPr>
                <w:rFonts w:hint="eastAsia" w:ascii="仿宋_GB2312" w:hAnsi="Times New Roman" w:eastAsia="仿宋_GB2312"/>
                <w:b/>
                <w:color w:val="000000"/>
                <w:sz w:val="24"/>
              </w:rPr>
              <w:t>其它承诺事项：</w:t>
            </w:r>
          </w:p>
          <w:p>
            <w:pPr>
              <w:spacing w:line="400" w:lineRule="exact"/>
              <w:ind w:left="420" w:leftChars="200" w:firstLine="720" w:firstLineChars="300"/>
              <w:jc w:val="left"/>
              <w:rPr>
                <w:rFonts w:ascii="仿宋_GB2312" w:hAnsi="Times New Roman" w:eastAsia="仿宋_GB2312"/>
                <w:color w:val="000000"/>
                <w:sz w:val="24"/>
              </w:rPr>
            </w:pPr>
            <w:r>
              <w:rPr>
                <w:rFonts w:hint="eastAsia" w:ascii="仿宋_GB2312" w:hAnsi="Times New Roman" w:eastAsia="仿宋_GB2312"/>
                <w:color w:val="000000"/>
                <w:sz w:val="24"/>
              </w:rPr>
              <w:t>□申请人未被他人或组织收养。</w:t>
            </w:r>
          </w:p>
          <w:p>
            <w:pPr>
              <w:spacing w:line="400" w:lineRule="exact"/>
              <w:ind w:left="420" w:leftChars="200" w:firstLine="720" w:firstLineChars="300"/>
              <w:jc w:val="left"/>
              <w:rPr>
                <w:rFonts w:ascii="仿宋_GB2312" w:hAnsi="Times New Roman" w:eastAsia="仿宋_GB2312"/>
                <w:color w:val="000000"/>
                <w:sz w:val="24"/>
              </w:rPr>
            </w:pPr>
            <w:r>
              <w:rPr>
                <w:rFonts w:hint="eastAsia" w:ascii="仿宋_GB2312" w:hAnsi="Times New Roman" w:eastAsia="仿宋_GB2312"/>
                <w:color w:val="000000"/>
                <w:sz w:val="24"/>
              </w:rPr>
              <w:t>□申请人未就业。</w:t>
            </w:r>
          </w:p>
          <w:p>
            <w:pPr>
              <w:spacing w:line="400" w:lineRule="exact"/>
              <w:ind w:left="420" w:leftChars="200" w:firstLine="720" w:firstLineChars="300"/>
              <w:jc w:val="left"/>
              <w:rPr>
                <w:rFonts w:ascii="仿宋_GB2312" w:hAnsi="Times New Roman" w:eastAsia="仿宋_GB2312"/>
                <w:color w:val="000000"/>
                <w:sz w:val="24"/>
              </w:rPr>
            </w:pPr>
            <w:r>
              <w:rPr>
                <w:rFonts w:hint="eastAsia" w:ascii="仿宋_GB2312" w:hAnsi="Times New Roman" w:eastAsia="仿宋_GB2312"/>
                <w:color w:val="000000"/>
                <w:sz w:val="24"/>
              </w:rPr>
              <w:t>□申请人未参军。</w:t>
            </w:r>
          </w:p>
          <w:p>
            <w:pPr>
              <w:spacing w:line="400" w:lineRule="exact"/>
              <w:ind w:left="420" w:leftChars="200" w:firstLine="720" w:firstLineChars="300"/>
              <w:jc w:val="left"/>
              <w:rPr>
                <w:rFonts w:ascii="仿宋_GB2312" w:hAnsi="Times New Roman" w:eastAsia="仿宋_GB2312"/>
                <w:color w:val="000000"/>
                <w:sz w:val="24"/>
              </w:rPr>
            </w:pPr>
            <w:r>
              <w:rPr>
                <w:rFonts w:hint="eastAsia" w:ascii="仿宋_GB2312" w:hAnsi="Times New Roman" w:eastAsia="仿宋_GB2312"/>
                <w:color w:val="000000"/>
                <w:sz w:val="24"/>
              </w:rPr>
              <w:t>符合《因工死亡职工供养亲属范围规定》等政策规定。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pacing w:line="400" w:lineRule="exact"/>
              <w:jc w:val="left"/>
              <w:rPr>
                <w:rFonts w:ascii="仿宋_GB2312" w:hAnsi="Times New Roman" w:eastAsia="仿宋_GB2312"/>
                <w:color w:val="000000"/>
                <w:sz w:val="24"/>
              </w:rPr>
            </w:pPr>
            <w:r>
              <w:rPr>
                <w:rFonts w:hint="eastAsia" w:ascii="仿宋_GB2312" w:hAnsi="Times New Roman" w:eastAsia="仿宋_GB2312"/>
                <w:color w:val="000000"/>
                <w:sz w:val="24"/>
              </w:rPr>
              <w:t>承诺内容：</w:t>
            </w:r>
          </w:p>
          <w:p>
            <w:pPr>
              <w:spacing w:line="400" w:lineRule="exact"/>
              <w:ind w:left="420" w:leftChars="200" w:firstLine="480" w:firstLineChars="200"/>
              <w:jc w:val="left"/>
              <w:rPr>
                <w:rFonts w:ascii="仿宋_GB2312" w:hAnsi="Times New Roman" w:eastAsia="仿宋_GB2312"/>
                <w:color w:val="000000"/>
                <w:sz w:val="24"/>
              </w:rPr>
            </w:pPr>
            <w:r>
              <w:rPr>
                <w:rFonts w:hint="eastAsia" w:ascii="仿宋_GB2312" w:hAnsi="Times New Roman" w:eastAsia="仿宋_GB2312"/>
                <w:color w:val="000000"/>
                <w:sz w:val="24"/>
              </w:rPr>
              <w:t>本人已认真阅读《社会保险经办业务证明事项告知承诺制告知书》及相关规定，对社会保险公共服务事项证明义务和办理条件已充分知晓。在此本人郑重承诺，已经符合本业务办理条件，填报和提交的所有信息均真实、准确、完整、有效，并授权同意经办机构通过其他部门、机构、企业查询与承诺相关的个人信息，用于核实承诺内容的真实性。同时，知悉本人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及犯罪的移交司法机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tcPr>
          <w:p>
            <w:pPr>
              <w:spacing w:line="400" w:lineRule="exact"/>
              <w:jc w:val="left"/>
              <w:rPr>
                <w:rFonts w:ascii="仿宋_GB2312" w:hAnsi="Times New Roman" w:eastAsia="仿宋_GB2312"/>
                <w:color w:val="000000"/>
                <w:sz w:val="24"/>
              </w:rPr>
            </w:pPr>
            <w:r>
              <w:rPr>
                <w:rFonts w:hint="eastAsia" w:ascii="仿宋_GB2312" w:hAnsi="Times New Roman" w:eastAsia="仿宋_GB2312"/>
                <w:color w:val="000000"/>
                <w:sz w:val="24"/>
              </w:rPr>
              <w:t>承诺人：</w:t>
            </w:r>
            <w:r>
              <w:rPr>
                <w:rFonts w:hint="eastAsia" w:ascii="仿宋_GB2312" w:hAnsi="Times New Roman" w:eastAsia="仿宋_GB2312"/>
                <w:color w:val="000000"/>
                <w:sz w:val="24"/>
                <w:u w:val="single"/>
              </w:rPr>
              <w:t xml:space="preserve">                    </w:t>
            </w:r>
          </w:p>
        </w:tc>
        <w:tc>
          <w:tcPr>
            <w:tcW w:w="4261" w:type="dxa"/>
          </w:tcPr>
          <w:p>
            <w:pPr>
              <w:spacing w:line="276" w:lineRule="auto"/>
              <w:jc w:val="left"/>
              <w:rPr>
                <w:rFonts w:ascii="仿宋_GB2312" w:hAnsi="Times New Roman" w:eastAsia="仿宋_GB2312"/>
                <w:color w:val="000000"/>
                <w:sz w:val="24"/>
              </w:rPr>
            </w:pPr>
            <w:r>
              <w:rPr>
                <w:rFonts w:hint="eastAsia" w:ascii="仿宋_GB2312" w:hAnsi="Times New Roman" w:eastAsia="仿宋_GB2312"/>
                <w:color w:val="000000"/>
                <w:sz w:val="24"/>
              </w:rPr>
              <w:t>身份证件号：</w:t>
            </w:r>
            <w:r>
              <w:rPr>
                <w:rFonts w:hint="eastAsia" w:ascii="仿宋_GB2312" w:hAnsi="Times New Roman" w:eastAsia="仿宋_GB2312"/>
                <w:color w:val="000000"/>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pacing w:line="400" w:lineRule="exact"/>
              <w:jc w:val="left"/>
              <w:rPr>
                <w:rFonts w:ascii="仿宋_GB2312" w:hAnsi="Times New Roman" w:eastAsia="仿宋_GB2312"/>
                <w:color w:val="000000"/>
                <w:sz w:val="24"/>
              </w:rPr>
            </w:pPr>
            <w:r>
              <w:rPr>
                <w:rFonts w:hint="eastAsia" w:ascii="仿宋_GB2312" w:hAnsi="Times New Roman" w:eastAsia="仿宋_GB2312"/>
                <w:color w:val="000000"/>
                <w:sz w:val="24"/>
              </w:rPr>
              <w:t>与申请人关系：本人/法定监护人（勾选）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22" w:type="dxa"/>
            <w:gridSpan w:val="2"/>
          </w:tcPr>
          <w:p>
            <w:pPr>
              <w:spacing w:line="400" w:lineRule="exact"/>
              <w:jc w:val="left"/>
              <w:rPr>
                <w:rFonts w:ascii="仿宋_GB2312" w:hAnsi="Times New Roman" w:eastAsia="仿宋_GB2312"/>
                <w:color w:val="000000"/>
                <w:sz w:val="24"/>
              </w:rPr>
            </w:pPr>
            <w:r>
              <w:rPr>
                <w:rFonts w:hint="eastAsia" w:ascii="仿宋_GB2312" w:hAnsi="Times New Roman" w:eastAsia="仿宋_GB2312"/>
                <w:color w:val="000000"/>
                <w:sz w:val="24"/>
              </w:rPr>
              <w:t>承诺日期：</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年</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月</w:t>
            </w:r>
            <w:r>
              <w:rPr>
                <w:rFonts w:hint="eastAsia" w:ascii="仿宋_GB2312" w:hAnsi="Times New Roman" w:eastAsia="仿宋_GB2312"/>
                <w:color w:val="000000"/>
                <w:sz w:val="24"/>
                <w:u w:val="single"/>
              </w:rPr>
              <w:t xml:space="preserve">    </w:t>
            </w:r>
            <w:r>
              <w:rPr>
                <w:rFonts w:hint="eastAsia" w:ascii="仿宋_GB2312" w:hAnsi="Times New Roman" w:eastAsia="仿宋_GB2312"/>
                <w:color w:val="000000"/>
                <w:sz w:val="24"/>
              </w:rPr>
              <w:t>日</w:t>
            </w:r>
          </w:p>
        </w:tc>
      </w:tr>
    </w:tbl>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附件14</w:t>
      </w:r>
    </w:p>
    <w:tbl>
      <w:tblPr>
        <w:tblStyle w:val="24"/>
        <w:tblW w:w="8856" w:type="dxa"/>
        <w:tblInd w:w="93" w:type="dxa"/>
        <w:tblLayout w:type="fixed"/>
        <w:tblCellMar>
          <w:top w:w="0" w:type="dxa"/>
          <w:left w:w="108" w:type="dxa"/>
          <w:bottom w:w="0" w:type="dxa"/>
          <w:right w:w="108" w:type="dxa"/>
        </w:tblCellMar>
      </w:tblPr>
      <w:tblGrid>
        <w:gridCol w:w="1677"/>
        <w:gridCol w:w="779"/>
        <w:gridCol w:w="450"/>
        <w:gridCol w:w="329"/>
        <w:gridCol w:w="780"/>
        <w:gridCol w:w="854"/>
        <w:gridCol w:w="1191"/>
        <w:gridCol w:w="1191"/>
        <w:gridCol w:w="1369"/>
        <w:gridCol w:w="236"/>
      </w:tblGrid>
      <w:tr>
        <w:tblPrEx>
          <w:tblLayout w:type="fixed"/>
          <w:tblCellMar>
            <w:top w:w="0" w:type="dxa"/>
            <w:left w:w="108" w:type="dxa"/>
            <w:bottom w:w="0" w:type="dxa"/>
            <w:right w:w="108" w:type="dxa"/>
          </w:tblCellMar>
        </w:tblPrEx>
        <w:trPr>
          <w:trHeight w:val="900" w:hRule="atLeast"/>
        </w:trPr>
        <w:tc>
          <w:tcPr>
            <w:tcW w:w="8856" w:type="dxa"/>
            <w:gridSpan w:val="10"/>
            <w:tcBorders>
              <w:top w:val="nil"/>
              <w:left w:val="nil"/>
              <w:bottom w:val="nil"/>
              <w:right w:val="nil"/>
            </w:tcBorders>
            <w:vAlign w:val="center"/>
          </w:tcPr>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因工死亡人员供养亲属登记表</w:t>
            </w:r>
          </w:p>
        </w:tc>
      </w:tr>
      <w:tr>
        <w:tblPrEx>
          <w:tblLayout w:type="fixed"/>
          <w:tblCellMar>
            <w:top w:w="0" w:type="dxa"/>
            <w:left w:w="108" w:type="dxa"/>
            <w:bottom w:w="0" w:type="dxa"/>
            <w:right w:w="108" w:type="dxa"/>
          </w:tblCellMar>
        </w:tblPrEx>
        <w:trPr>
          <w:trHeight w:val="585" w:hRule="atLeast"/>
        </w:trPr>
        <w:tc>
          <w:tcPr>
            <w:tcW w:w="8856" w:type="dxa"/>
            <w:gridSpan w:val="10"/>
            <w:tcBorders>
              <w:top w:val="nil"/>
              <w:left w:val="nil"/>
              <w:bottom w:val="nil"/>
            </w:tcBorders>
            <w:vAlign w:val="bottom"/>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单位名称（盖章）                                          年    月    日</w:t>
            </w:r>
          </w:p>
        </w:tc>
      </w:tr>
      <w:tr>
        <w:tblPrEx>
          <w:tblLayout w:type="fixed"/>
          <w:tblCellMar>
            <w:top w:w="0" w:type="dxa"/>
            <w:left w:w="108" w:type="dxa"/>
            <w:bottom w:w="0" w:type="dxa"/>
            <w:right w:w="108" w:type="dxa"/>
          </w:tblCellMar>
        </w:tblPrEx>
        <w:trPr>
          <w:trHeight w:val="798" w:hRule="atLeast"/>
        </w:trPr>
        <w:tc>
          <w:tcPr>
            <w:tcW w:w="1677" w:type="dxa"/>
            <w:vMerge w:val="restart"/>
            <w:tcBorders>
              <w:top w:val="single" w:color="auto" w:sz="4" w:space="0"/>
              <w:left w:val="single" w:color="auto" w:sz="4" w:space="0"/>
              <w:bottom w:val="single" w:color="000000" w:sz="4" w:space="0"/>
              <w:right w:val="single" w:color="auto" w:sz="4" w:space="0"/>
            </w:tcBorders>
            <w:textDirection w:val="tbRlV"/>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工亡人员情况</w:t>
            </w:r>
          </w:p>
        </w:tc>
        <w:tc>
          <w:tcPr>
            <w:tcW w:w="1229"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 xml:space="preserve"> </w:t>
            </w:r>
            <w:r>
              <w:rPr>
                <w:rFonts w:hint="eastAsia" w:ascii="仿宋_GB2312" w:hAnsi="宋体" w:eastAsia="仿宋_GB2312"/>
                <w:color w:val="000000"/>
                <w:kern w:val="0"/>
                <w:sz w:val="24"/>
              </w:rPr>
              <w:t>姓</w:t>
            </w:r>
            <w:r>
              <w:rPr>
                <w:rFonts w:hint="eastAsia" w:ascii="仿宋_GB2312" w:hAnsi="Times New Roman" w:eastAsia="仿宋_GB2312"/>
                <w:color w:val="000000"/>
                <w:kern w:val="0"/>
                <w:sz w:val="24"/>
              </w:rPr>
              <w:t xml:space="preserve">  </w:t>
            </w:r>
            <w:r>
              <w:rPr>
                <w:rFonts w:hint="eastAsia" w:ascii="仿宋_GB2312" w:hAnsi="宋体" w:eastAsia="仿宋_GB2312"/>
                <w:color w:val="000000"/>
                <w:kern w:val="0"/>
                <w:sz w:val="24"/>
              </w:rPr>
              <w:t>名</w:t>
            </w:r>
          </w:p>
        </w:tc>
        <w:tc>
          <w:tcPr>
            <w:tcW w:w="1109"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4"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身份证号</w:t>
            </w:r>
          </w:p>
        </w:tc>
        <w:tc>
          <w:tcPr>
            <w:tcW w:w="119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工亡时间</w:t>
            </w:r>
          </w:p>
        </w:tc>
        <w:tc>
          <w:tcPr>
            <w:tcW w:w="1605" w:type="dxa"/>
            <w:gridSpan w:val="2"/>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798" w:hRule="atLeast"/>
        </w:trPr>
        <w:tc>
          <w:tcPr>
            <w:tcW w:w="16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229" w:type="dxa"/>
            <w:gridSpan w:val="2"/>
            <w:vMerge w:val="restart"/>
            <w:tcBorders>
              <w:top w:val="nil"/>
              <w:left w:val="single" w:color="auto" w:sz="4" w:space="0"/>
              <w:bottom w:val="single" w:color="000000" w:sz="4" w:space="0"/>
              <w:right w:val="single" w:color="auto" w:sz="4" w:space="0"/>
            </w:tcBorders>
            <w:textDirection w:val="tbRlV"/>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家庭住址</w:t>
            </w:r>
          </w:p>
        </w:tc>
        <w:tc>
          <w:tcPr>
            <w:tcW w:w="3154" w:type="dxa"/>
            <w:gridSpan w:val="4"/>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遗属联</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系人</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798" w:hRule="atLeast"/>
        </w:trPr>
        <w:tc>
          <w:tcPr>
            <w:tcW w:w="167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22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3154" w:type="dxa"/>
            <w:gridSpan w:val="4"/>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仿宋_GB2312" w:hAnsi="宋体" w:eastAsia="仿宋_GB2312" w:cs="宋体"/>
                <w:color w:val="000000"/>
                <w:kern w:val="0"/>
                <w:sz w:val="24"/>
              </w:rPr>
            </w:pPr>
          </w:p>
        </w:tc>
        <w:tc>
          <w:tcPr>
            <w:tcW w:w="1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798" w:hRule="atLeast"/>
        </w:trPr>
        <w:tc>
          <w:tcPr>
            <w:tcW w:w="2906"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单位联系人</w:t>
            </w:r>
          </w:p>
        </w:tc>
        <w:tc>
          <w:tcPr>
            <w:tcW w:w="3154" w:type="dxa"/>
            <w:gridSpan w:val="4"/>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联系电话</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798" w:hRule="atLeast"/>
        </w:trPr>
        <w:tc>
          <w:tcPr>
            <w:tcW w:w="1677" w:type="dxa"/>
            <w:vMerge w:val="restart"/>
            <w:tcBorders>
              <w:top w:val="single" w:color="auto" w:sz="4" w:space="0"/>
              <w:left w:val="single" w:color="auto" w:sz="4" w:space="0"/>
              <w:bottom w:val="single" w:color="auto" w:sz="4" w:space="0"/>
              <w:right w:val="nil"/>
            </w:tcBorders>
            <w:textDirection w:val="tbRlV"/>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供养亲属情况</w:t>
            </w:r>
          </w:p>
        </w:tc>
        <w:tc>
          <w:tcPr>
            <w:tcW w:w="77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姓</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名</w:t>
            </w:r>
          </w:p>
        </w:tc>
        <w:tc>
          <w:tcPr>
            <w:tcW w:w="77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性</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别</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关</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系</w:t>
            </w:r>
          </w:p>
        </w:tc>
        <w:tc>
          <w:tcPr>
            <w:tcW w:w="8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出生年月</w:t>
            </w:r>
          </w:p>
        </w:tc>
        <w:tc>
          <w:tcPr>
            <w:tcW w:w="1191" w:type="dxa"/>
            <w:tcBorders>
              <w:top w:val="nil"/>
              <w:left w:val="nil"/>
              <w:bottom w:val="single" w:color="auto" w:sz="4" w:space="0"/>
              <w:right w:val="single" w:color="auto" w:sz="4" w:space="0"/>
            </w:tcBorders>
            <w:vAlign w:val="center"/>
          </w:tcPr>
          <w:p>
            <w:pPr>
              <w:widowControl/>
              <w:jc w:val="center"/>
              <w:rPr>
                <w:rFonts w:ascii="仿宋_GB2312" w:hAnsi="Times New Roman" w:eastAsia="仿宋_GB2312"/>
                <w:color w:val="000000"/>
                <w:kern w:val="0"/>
                <w:sz w:val="24"/>
              </w:rPr>
            </w:pPr>
            <w:r>
              <w:rPr>
                <w:rFonts w:hint="eastAsia" w:ascii="仿宋_GB2312" w:hAnsi="宋体" w:eastAsia="仿宋_GB2312" w:cs="宋体"/>
                <w:color w:val="000000"/>
                <w:kern w:val="0"/>
                <w:sz w:val="24"/>
              </w:rPr>
              <w:t>身</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份</w:t>
            </w:r>
            <w:r>
              <w:rPr>
                <w:rFonts w:hint="eastAsia" w:ascii="仿宋_GB2312" w:hAnsi="Times New Roman" w:eastAsia="仿宋_GB2312"/>
                <w:color w:val="000000"/>
                <w:kern w:val="0"/>
                <w:sz w:val="24"/>
              </w:rPr>
              <w:t xml:space="preserve"> </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证</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号</w:t>
            </w:r>
          </w:p>
        </w:tc>
        <w:tc>
          <w:tcPr>
            <w:tcW w:w="11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家</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庭</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住</w:t>
            </w:r>
            <w:r>
              <w:rPr>
                <w:rFonts w:hint="eastAsia" w:ascii="仿宋_GB2312" w:hAnsi="Times New Roman" w:eastAsia="仿宋_GB2312"/>
                <w:color w:val="000000"/>
                <w:kern w:val="0"/>
                <w:sz w:val="24"/>
              </w:rPr>
              <w:t xml:space="preserve"> </w:t>
            </w:r>
            <w:r>
              <w:rPr>
                <w:rFonts w:hint="eastAsia" w:ascii="仿宋_GB2312" w:hAnsi="宋体" w:eastAsia="仿宋_GB2312" w:cs="宋体"/>
                <w:color w:val="000000"/>
                <w:kern w:val="0"/>
                <w:sz w:val="24"/>
              </w:rPr>
              <w:t>址</w:t>
            </w:r>
          </w:p>
        </w:tc>
        <w:tc>
          <w:tcPr>
            <w:tcW w:w="160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经 济 </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状 况</w:t>
            </w:r>
          </w:p>
        </w:tc>
      </w:tr>
      <w:tr>
        <w:tblPrEx>
          <w:tblLayout w:type="fixed"/>
          <w:tblCellMar>
            <w:top w:w="0" w:type="dxa"/>
            <w:left w:w="108" w:type="dxa"/>
            <w:bottom w:w="0" w:type="dxa"/>
            <w:right w:w="108" w:type="dxa"/>
          </w:tblCellMar>
        </w:tblPrEx>
        <w:trPr>
          <w:trHeight w:val="798" w:hRule="atLeast"/>
        </w:trPr>
        <w:tc>
          <w:tcPr>
            <w:tcW w:w="1677" w:type="dxa"/>
            <w:vMerge w:val="continue"/>
            <w:tcBorders>
              <w:top w:val="single" w:color="auto" w:sz="4" w:space="0"/>
              <w:left w:val="single" w:color="auto" w:sz="4" w:space="0"/>
              <w:bottom w:val="single" w:color="auto" w:sz="4" w:space="0"/>
              <w:right w:val="nil"/>
            </w:tcBorders>
            <w:vAlign w:val="center"/>
          </w:tcPr>
          <w:p>
            <w:pPr>
              <w:widowControl/>
              <w:jc w:val="left"/>
              <w:rPr>
                <w:rFonts w:ascii="仿宋_GB2312" w:hAnsi="宋体" w:eastAsia="仿宋_GB2312" w:cs="宋体"/>
                <w:color w:val="000000"/>
                <w:kern w:val="0"/>
                <w:sz w:val="24"/>
              </w:rPr>
            </w:pPr>
          </w:p>
        </w:tc>
        <w:tc>
          <w:tcPr>
            <w:tcW w:w="77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7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798" w:hRule="atLeast"/>
        </w:trPr>
        <w:tc>
          <w:tcPr>
            <w:tcW w:w="1677" w:type="dxa"/>
            <w:vMerge w:val="continue"/>
            <w:tcBorders>
              <w:top w:val="single" w:color="auto" w:sz="4" w:space="0"/>
              <w:left w:val="single" w:color="auto" w:sz="4" w:space="0"/>
              <w:bottom w:val="single" w:color="auto" w:sz="4" w:space="0"/>
              <w:right w:val="nil"/>
            </w:tcBorders>
            <w:vAlign w:val="center"/>
          </w:tcPr>
          <w:p>
            <w:pPr>
              <w:widowControl/>
              <w:jc w:val="left"/>
              <w:rPr>
                <w:rFonts w:ascii="仿宋_GB2312" w:hAnsi="宋体" w:eastAsia="仿宋_GB2312" w:cs="宋体"/>
                <w:color w:val="000000"/>
                <w:kern w:val="0"/>
                <w:sz w:val="24"/>
              </w:rPr>
            </w:pPr>
          </w:p>
        </w:tc>
        <w:tc>
          <w:tcPr>
            <w:tcW w:w="779" w:type="dxa"/>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79" w:type="dxa"/>
            <w:gridSpan w:val="2"/>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80"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4"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1" w:type="dxa"/>
            <w:tcBorders>
              <w:top w:val="nil"/>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0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798" w:hRule="atLeast"/>
        </w:trPr>
        <w:tc>
          <w:tcPr>
            <w:tcW w:w="1677" w:type="dxa"/>
            <w:vMerge w:val="continue"/>
            <w:tcBorders>
              <w:top w:val="single" w:color="auto" w:sz="4" w:space="0"/>
              <w:left w:val="single" w:color="auto" w:sz="4" w:space="0"/>
              <w:bottom w:val="single" w:color="auto" w:sz="4" w:space="0"/>
              <w:right w:val="nil"/>
            </w:tcBorders>
            <w:vAlign w:val="center"/>
          </w:tcPr>
          <w:p>
            <w:pPr>
              <w:widowControl/>
              <w:jc w:val="left"/>
              <w:rPr>
                <w:rFonts w:ascii="仿宋_GB2312" w:hAnsi="宋体" w:eastAsia="仿宋_GB2312" w:cs="宋体"/>
                <w:color w:val="000000"/>
                <w:kern w:val="0"/>
                <w:sz w:val="24"/>
              </w:rPr>
            </w:pPr>
          </w:p>
        </w:tc>
        <w:tc>
          <w:tcPr>
            <w:tcW w:w="779" w:type="dxa"/>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79"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780"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854"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1" w:type="dxa"/>
            <w:tcBorders>
              <w:top w:val="nil"/>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191" w:type="dxa"/>
            <w:tcBorders>
              <w:top w:val="single" w:color="auto" w:sz="4" w:space="0"/>
              <w:left w:val="nil"/>
              <w:bottom w:val="single" w:color="auto" w:sz="4" w:space="0"/>
              <w:right w:val="single" w:color="auto" w:sz="4" w:space="0"/>
            </w:tcBorders>
            <w:vAlign w:val="center"/>
          </w:tcPr>
          <w:p>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05" w:type="dxa"/>
            <w:gridSpan w:val="2"/>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798" w:hRule="atLeast"/>
        </w:trPr>
        <w:tc>
          <w:tcPr>
            <w:tcW w:w="4015" w:type="dxa"/>
            <w:gridSpan w:val="5"/>
            <w:tcBorders>
              <w:top w:val="single" w:color="auto" w:sz="4" w:space="0"/>
              <w:left w:val="single" w:color="auto" w:sz="4" w:space="0"/>
              <w:bottom w:val="single" w:color="auto" w:sz="4" w:space="0"/>
              <w:right w:val="nil"/>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抚恤金领取人签名（盖章）</w:t>
            </w:r>
          </w:p>
        </w:tc>
        <w:tc>
          <w:tcPr>
            <w:tcW w:w="2045" w:type="dxa"/>
            <w:gridSpan w:val="2"/>
            <w:tcBorders>
              <w:top w:val="single" w:color="auto" w:sz="4" w:space="0"/>
              <w:left w:val="single" w:color="auto" w:sz="4" w:space="0"/>
              <w:bottom w:val="single" w:color="auto" w:sz="4" w:space="0"/>
              <w:right w:val="single" w:color="auto" w:sz="4" w:space="0"/>
            </w:tcBorders>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9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经办机构审核意见</w:t>
            </w:r>
          </w:p>
        </w:tc>
      </w:tr>
      <w:tr>
        <w:tblPrEx>
          <w:tblLayout w:type="fixed"/>
          <w:tblCellMar>
            <w:top w:w="0" w:type="dxa"/>
            <w:left w:w="108" w:type="dxa"/>
            <w:bottom w:w="0" w:type="dxa"/>
            <w:right w:w="108" w:type="dxa"/>
          </w:tblCellMar>
        </w:tblPrEx>
        <w:trPr>
          <w:trHeight w:val="798" w:hRule="atLeast"/>
        </w:trPr>
        <w:tc>
          <w:tcPr>
            <w:tcW w:w="6060" w:type="dxa"/>
            <w:gridSpan w:val="7"/>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粘身份证处</w:t>
            </w:r>
          </w:p>
        </w:tc>
        <w:tc>
          <w:tcPr>
            <w:tcW w:w="2796" w:type="dxa"/>
            <w:gridSpan w:val="3"/>
            <w:vMerge w:val="restart"/>
            <w:tcBorders>
              <w:top w:val="single" w:color="auto" w:sz="4" w:space="0"/>
              <w:left w:val="nil"/>
              <w:bottom w:val="nil"/>
              <w:right w:val="single" w:color="000000" w:sz="4" w:space="0"/>
            </w:tcBorders>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798" w:hRule="atLeast"/>
        </w:trPr>
        <w:tc>
          <w:tcPr>
            <w:tcW w:w="606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2796" w:type="dxa"/>
            <w:gridSpan w:val="3"/>
            <w:vMerge w:val="continue"/>
            <w:tcBorders>
              <w:top w:val="single" w:color="auto" w:sz="4" w:space="0"/>
              <w:left w:val="nil"/>
              <w:bottom w:val="nil"/>
              <w:right w:val="single" w:color="000000" w:sz="4" w:space="0"/>
            </w:tcBorders>
            <w:vAlign w:val="center"/>
          </w:tcPr>
          <w:p>
            <w:pPr>
              <w:widowControl/>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798" w:hRule="atLeast"/>
        </w:trPr>
        <w:tc>
          <w:tcPr>
            <w:tcW w:w="606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1191" w:type="dxa"/>
            <w:tcBorders>
              <w:top w:val="nil"/>
              <w:left w:val="nil"/>
              <w:bottom w:val="nil"/>
              <w:right w:val="nil"/>
            </w:tcBorders>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审核：</w:t>
            </w:r>
          </w:p>
        </w:tc>
        <w:tc>
          <w:tcPr>
            <w:tcW w:w="1369" w:type="dxa"/>
            <w:tcBorders>
              <w:top w:val="nil"/>
              <w:left w:val="nil"/>
              <w:bottom w:val="nil"/>
              <w:right w:val="nil"/>
            </w:tcBorders>
            <w:vAlign w:val="bottom"/>
          </w:tcPr>
          <w:p>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（盖章）</w:t>
            </w:r>
          </w:p>
        </w:tc>
        <w:tc>
          <w:tcPr>
            <w:tcW w:w="236" w:type="dxa"/>
            <w:tcBorders>
              <w:top w:val="nil"/>
              <w:left w:val="nil"/>
              <w:bottom w:val="nil"/>
              <w:right w:val="single" w:color="auto" w:sz="4" w:space="0"/>
            </w:tcBorders>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798" w:hRule="atLeast"/>
        </w:trPr>
        <w:tc>
          <w:tcPr>
            <w:tcW w:w="6060" w:type="dxa"/>
            <w:gridSpan w:val="7"/>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仿宋_GB2312" w:hAnsi="宋体" w:eastAsia="仿宋_GB2312" w:cs="宋体"/>
                <w:color w:val="000000"/>
                <w:kern w:val="0"/>
                <w:sz w:val="24"/>
              </w:rPr>
            </w:pPr>
          </w:p>
        </w:tc>
        <w:tc>
          <w:tcPr>
            <w:tcW w:w="2560" w:type="dxa"/>
            <w:gridSpan w:val="2"/>
            <w:tcBorders>
              <w:top w:val="nil"/>
              <w:left w:val="nil"/>
              <w:bottom w:val="single" w:color="auto" w:sz="4" w:space="0"/>
              <w:right w:val="nil"/>
            </w:tcBorders>
            <w:vAlign w:val="center"/>
          </w:tcPr>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p>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年   月   日</w:t>
            </w:r>
          </w:p>
        </w:tc>
        <w:tc>
          <w:tcPr>
            <w:tcW w:w="236" w:type="dxa"/>
            <w:tcBorders>
              <w:top w:val="nil"/>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Layout w:type="fixed"/>
          <w:tblCellMar>
            <w:top w:w="0" w:type="dxa"/>
            <w:left w:w="108" w:type="dxa"/>
            <w:bottom w:w="0" w:type="dxa"/>
            <w:right w:w="108" w:type="dxa"/>
          </w:tblCellMar>
        </w:tblPrEx>
        <w:trPr>
          <w:trHeight w:val="312" w:hRule="atLeast"/>
        </w:trPr>
        <w:tc>
          <w:tcPr>
            <w:tcW w:w="8856" w:type="dxa"/>
            <w:gridSpan w:val="10"/>
            <w:tcBorders>
              <w:top w:val="nil"/>
              <w:left w:val="nil"/>
              <w:bottom w:val="nil"/>
              <w:right w:val="nil"/>
            </w:tcBorders>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备注：1</w:t>
            </w:r>
            <w:r>
              <w:rPr>
                <w:rFonts w:hint="eastAsia" w:ascii="仿宋_GB2312" w:hAnsi="宋体" w:eastAsia="仿宋_GB2312"/>
                <w:color w:val="000000"/>
                <w:kern w:val="0"/>
                <w:sz w:val="24"/>
              </w:rPr>
              <w:t>、此表一式两份。</w:t>
            </w:r>
          </w:p>
        </w:tc>
      </w:tr>
      <w:tr>
        <w:tblPrEx>
          <w:tblLayout w:type="fixed"/>
          <w:tblCellMar>
            <w:top w:w="0" w:type="dxa"/>
            <w:left w:w="108" w:type="dxa"/>
            <w:bottom w:w="0" w:type="dxa"/>
            <w:right w:w="108" w:type="dxa"/>
          </w:tblCellMar>
        </w:tblPrEx>
        <w:trPr>
          <w:trHeight w:val="312" w:hRule="atLeast"/>
        </w:trPr>
        <w:tc>
          <w:tcPr>
            <w:tcW w:w="8856" w:type="dxa"/>
            <w:gridSpan w:val="10"/>
            <w:tcBorders>
              <w:top w:val="nil"/>
              <w:left w:val="nil"/>
              <w:bottom w:val="nil"/>
              <w:right w:val="nil"/>
            </w:tcBorders>
          </w:tcPr>
          <w:p>
            <w:pPr>
              <w:widowControl/>
              <w:jc w:val="left"/>
              <w:rPr>
                <w:rFonts w:ascii="仿宋_GB2312" w:hAnsi="Times New Roman" w:eastAsia="仿宋_GB2312"/>
                <w:color w:val="000000"/>
                <w:kern w:val="0"/>
                <w:sz w:val="24"/>
              </w:rPr>
            </w:pPr>
            <w:r>
              <w:rPr>
                <w:rFonts w:hint="eastAsia" w:ascii="仿宋_GB2312" w:hAnsi="Times New Roman" w:eastAsia="仿宋_GB2312"/>
                <w:color w:val="000000"/>
                <w:kern w:val="0"/>
                <w:sz w:val="24"/>
              </w:rPr>
              <w:t xml:space="preserve">      2</w:t>
            </w:r>
            <w:r>
              <w:rPr>
                <w:rFonts w:hint="eastAsia" w:ascii="仿宋_GB2312" w:hAnsi="宋体" w:eastAsia="仿宋_GB2312"/>
                <w:color w:val="000000"/>
                <w:kern w:val="0"/>
                <w:sz w:val="24"/>
              </w:rPr>
              <w:t>、附亲属身份证、户口本、子女《医学出生证明》等材料。</w:t>
            </w:r>
          </w:p>
        </w:tc>
      </w:tr>
    </w:tbl>
    <w:p>
      <w:pPr>
        <w:pStyle w:val="11"/>
        <w:rPr>
          <w:rFonts w:ascii="仿宋_GB2312" w:eastAsia="仿宋_GB2312"/>
        </w:rPr>
      </w:pPr>
    </w:p>
    <w:p>
      <w:pPr>
        <w:pStyle w:val="11"/>
        <w:rPr>
          <w:rFonts w:ascii="仿宋_GB2312" w:eastAsia="仿宋_GB2312"/>
        </w:rPr>
      </w:pP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附件15</w:t>
      </w: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工伤保险基金先行支付申请表</w:t>
      </w:r>
    </w:p>
    <w:tbl>
      <w:tblPr>
        <w:tblStyle w:val="24"/>
        <w:tblW w:w="8612" w:type="dxa"/>
        <w:tblInd w:w="0" w:type="dxa"/>
        <w:tblLayout w:type="fixed"/>
        <w:tblCellMar>
          <w:top w:w="0" w:type="dxa"/>
          <w:left w:w="108" w:type="dxa"/>
          <w:bottom w:w="0" w:type="dxa"/>
          <w:right w:w="108" w:type="dxa"/>
        </w:tblCellMar>
      </w:tblPr>
      <w:tblGrid>
        <w:gridCol w:w="1736"/>
        <w:gridCol w:w="1016"/>
        <w:gridCol w:w="1340"/>
        <w:gridCol w:w="53"/>
        <w:gridCol w:w="816"/>
        <w:gridCol w:w="784"/>
        <w:gridCol w:w="436"/>
        <w:gridCol w:w="133"/>
        <w:gridCol w:w="1051"/>
        <w:gridCol w:w="677"/>
        <w:gridCol w:w="570"/>
      </w:tblGrid>
      <w:tr>
        <w:tblPrEx>
          <w:tblLayout w:type="fixed"/>
          <w:tblCellMar>
            <w:top w:w="0" w:type="dxa"/>
            <w:left w:w="108" w:type="dxa"/>
            <w:bottom w:w="0" w:type="dxa"/>
            <w:right w:w="108" w:type="dxa"/>
          </w:tblCellMar>
        </w:tblPrEx>
        <w:trPr>
          <w:trHeight w:val="288" w:hRule="atLeast"/>
        </w:trPr>
        <w:tc>
          <w:tcPr>
            <w:tcW w:w="8612" w:type="dxa"/>
            <w:gridSpan w:val="11"/>
            <w:tcBorders>
              <w:top w:val="nil"/>
              <w:left w:val="nil"/>
              <w:bottom w:val="nil"/>
              <w:right w:val="nil"/>
            </w:tcBorders>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508" w:hRule="atLeast"/>
        </w:trPr>
        <w:tc>
          <w:tcPr>
            <w:tcW w:w="8612" w:type="dxa"/>
            <w:gridSpan w:val="11"/>
            <w:tcBorders>
              <w:top w:val="nil"/>
              <w:left w:val="nil"/>
              <w:bottom w:val="single" w:color="auto" w:sz="6" w:space="0"/>
              <w:right w:val="nil"/>
            </w:tcBorders>
          </w:tcPr>
          <w:p>
            <w:pPr>
              <w:spacing w:line="240" w:lineRule="exact"/>
              <w:jc w:val="left"/>
              <w:rPr>
                <w:rFonts w:ascii="仿宋_GB2312" w:hAnsi="宋体" w:eastAsia="仿宋_GB2312"/>
                <w:color w:val="000000"/>
                <w:sz w:val="24"/>
              </w:rPr>
            </w:pPr>
            <w:r>
              <w:rPr>
                <w:rFonts w:hint="eastAsia" w:ascii="仿宋_GB2312" w:hAnsi="宋体" w:eastAsia="仿宋_GB2312"/>
                <w:color w:val="000000"/>
                <w:sz w:val="24"/>
              </w:rPr>
              <w:t xml:space="preserve">                                   年    月    日          单位：元</w:t>
            </w:r>
          </w:p>
        </w:tc>
      </w:tr>
      <w:tr>
        <w:tblPrEx>
          <w:tblLayout w:type="fixed"/>
          <w:tblCellMar>
            <w:top w:w="0" w:type="dxa"/>
            <w:left w:w="108" w:type="dxa"/>
            <w:bottom w:w="0" w:type="dxa"/>
            <w:right w:w="108" w:type="dxa"/>
          </w:tblCellMar>
        </w:tblPrEx>
        <w:trPr>
          <w:trHeight w:val="310" w:hRule="atLeast"/>
        </w:trPr>
        <w:tc>
          <w:tcPr>
            <w:tcW w:w="173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申请人姓名</w:t>
            </w:r>
          </w:p>
        </w:tc>
        <w:tc>
          <w:tcPr>
            <w:tcW w:w="101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p>
        </w:tc>
        <w:tc>
          <w:tcPr>
            <w:tcW w:w="13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身份证</w:t>
            </w:r>
          </w:p>
          <w:p>
            <w:pPr>
              <w:jc w:val="center"/>
              <w:rPr>
                <w:rFonts w:ascii="仿宋_GB2312" w:hAnsi="宋体" w:eastAsia="仿宋_GB2312"/>
                <w:color w:val="000000"/>
                <w:sz w:val="24"/>
              </w:rPr>
            </w:pPr>
            <w:r>
              <w:rPr>
                <w:rFonts w:hint="eastAsia" w:ascii="仿宋_GB2312" w:hAnsi="宋体" w:eastAsia="仿宋_GB2312"/>
                <w:color w:val="000000"/>
                <w:sz w:val="24"/>
              </w:rPr>
              <w:t>号码</w:t>
            </w:r>
          </w:p>
        </w:tc>
        <w:tc>
          <w:tcPr>
            <w:tcW w:w="2169" w:type="dxa"/>
            <w:gridSpan w:val="4"/>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p>
        </w:tc>
        <w:tc>
          <w:tcPr>
            <w:tcW w:w="1051"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性别</w:t>
            </w:r>
          </w:p>
        </w:tc>
        <w:tc>
          <w:tcPr>
            <w:tcW w:w="12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75" w:hRule="atLeast"/>
        </w:trPr>
        <w:tc>
          <w:tcPr>
            <w:tcW w:w="173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工作单位</w:t>
            </w:r>
          </w:p>
        </w:tc>
        <w:tc>
          <w:tcPr>
            <w:tcW w:w="101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p>
        </w:tc>
        <w:tc>
          <w:tcPr>
            <w:tcW w:w="13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参加工作时间</w:t>
            </w:r>
          </w:p>
        </w:tc>
        <w:tc>
          <w:tcPr>
            <w:tcW w:w="8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569"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1051"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工作</w:t>
            </w:r>
          </w:p>
          <w:p>
            <w:pPr>
              <w:jc w:val="center"/>
              <w:rPr>
                <w:rFonts w:ascii="仿宋_GB2312" w:hAnsi="宋体" w:eastAsia="仿宋_GB2312"/>
                <w:color w:val="000000"/>
                <w:sz w:val="24"/>
              </w:rPr>
            </w:pPr>
            <w:r>
              <w:rPr>
                <w:rFonts w:hint="eastAsia" w:ascii="仿宋_GB2312" w:hAnsi="宋体" w:eastAsia="仿宋_GB2312"/>
                <w:color w:val="000000"/>
                <w:sz w:val="24"/>
              </w:rPr>
              <w:t>岗位</w:t>
            </w:r>
          </w:p>
        </w:tc>
        <w:tc>
          <w:tcPr>
            <w:tcW w:w="124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75" w:hRule="atLeast"/>
        </w:trPr>
        <w:tc>
          <w:tcPr>
            <w:tcW w:w="1736" w:type="dxa"/>
            <w:tcBorders>
              <w:top w:val="single" w:color="auto" w:sz="6" w:space="0"/>
              <w:left w:val="single" w:color="auto" w:sz="6" w:space="0"/>
              <w:bottom w:val="single" w:color="auto" w:sz="6" w:space="0"/>
              <w:right w:val="single" w:color="auto" w:sz="6" w:space="0"/>
            </w:tcBorders>
            <w:vAlign w:val="center"/>
          </w:tcPr>
          <w:p>
            <w:pPr>
              <w:ind w:firstLine="320"/>
              <w:jc w:val="center"/>
              <w:rPr>
                <w:rFonts w:ascii="仿宋_GB2312" w:hAnsi="宋体" w:eastAsia="仿宋_GB2312"/>
                <w:color w:val="000000"/>
                <w:sz w:val="24"/>
              </w:rPr>
            </w:pPr>
            <w:r>
              <w:rPr>
                <w:rFonts w:hint="eastAsia" w:ascii="仿宋_GB2312" w:hAnsi="宋体" w:eastAsia="仿宋_GB2312"/>
                <w:color w:val="000000"/>
                <w:sz w:val="24"/>
              </w:rPr>
              <w:t>工伤（亡）时间</w:t>
            </w:r>
          </w:p>
        </w:tc>
        <w:tc>
          <w:tcPr>
            <w:tcW w:w="101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p>
        </w:tc>
        <w:tc>
          <w:tcPr>
            <w:tcW w:w="1393"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工伤认定时间</w:t>
            </w:r>
          </w:p>
        </w:tc>
        <w:tc>
          <w:tcPr>
            <w:tcW w:w="8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569"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1051"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工伤</w:t>
            </w:r>
          </w:p>
          <w:p>
            <w:pPr>
              <w:jc w:val="center"/>
              <w:rPr>
                <w:rFonts w:ascii="仿宋_GB2312" w:hAnsi="宋体" w:eastAsia="仿宋_GB2312"/>
                <w:color w:val="000000"/>
                <w:sz w:val="24"/>
              </w:rPr>
            </w:pPr>
            <w:r>
              <w:rPr>
                <w:rFonts w:hint="eastAsia" w:ascii="仿宋_GB2312" w:hAnsi="宋体" w:eastAsia="仿宋_GB2312"/>
                <w:color w:val="000000"/>
                <w:sz w:val="24"/>
              </w:rPr>
              <w:t>类型</w:t>
            </w: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75" w:hRule="atLeast"/>
        </w:trPr>
        <w:tc>
          <w:tcPr>
            <w:tcW w:w="173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伤害部位（职业病名称）</w:t>
            </w:r>
          </w:p>
        </w:tc>
        <w:tc>
          <w:tcPr>
            <w:tcW w:w="6876" w:type="dxa"/>
            <w:gridSpan w:val="10"/>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95" w:hRule="atLeast"/>
        </w:trPr>
        <w:tc>
          <w:tcPr>
            <w:tcW w:w="173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劳动能力鉴定时间</w:t>
            </w:r>
          </w:p>
        </w:tc>
        <w:tc>
          <w:tcPr>
            <w:tcW w:w="101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p>
        </w:tc>
        <w:tc>
          <w:tcPr>
            <w:tcW w:w="1340"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伤残等级</w:t>
            </w: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569"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1051"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护理等级</w:t>
            </w: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635" w:hRule="atLeast"/>
        </w:trPr>
        <w:tc>
          <w:tcPr>
            <w:tcW w:w="1736" w:type="dxa"/>
            <w:tcBorders>
              <w:top w:val="single" w:color="auto" w:sz="6" w:space="0"/>
              <w:left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支付类型</w:t>
            </w:r>
          </w:p>
        </w:tc>
        <w:tc>
          <w:tcPr>
            <w:tcW w:w="6876" w:type="dxa"/>
            <w:gridSpan w:val="10"/>
            <w:tcBorders>
              <w:top w:val="single" w:color="auto" w:sz="6" w:space="0"/>
              <w:left w:val="single" w:color="auto" w:sz="6" w:space="0"/>
              <w:bottom w:val="single" w:color="auto" w:sz="6" w:space="0"/>
              <w:right w:val="single" w:color="auto" w:sz="6" w:space="0"/>
            </w:tcBorders>
          </w:tcPr>
          <w:p>
            <w:pPr>
              <w:rPr>
                <w:rFonts w:ascii="仿宋_GB2312" w:hAnsi="宋体" w:eastAsia="仿宋_GB2312"/>
                <w:color w:val="000000"/>
                <w:sz w:val="24"/>
              </w:rPr>
            </w:pPr>
            <w:r>
              <w:rPr>
                <w:rFonts w:hint="eastAsia" w:ascii="仿宋_GB2312" w:hAnsi="宋体" w:eastAsia="仿宋_GB2312"/>
                <w:color w:val="000000"/>
                <w:sz w:val="24"/>
              </w:rPr>
              <w:t>用人单位未缴纳工伤保险费且不支付待遇（       ）、第三人不支付工伤医疗费用（       ）、无法确定第三人（       ）</w:t>
            </w:r>
          </w:p>
        </w:tc>
      </w:tr>
      <w:tr>
        <w:tblPrEx>
          <w:tblLayout w:type="fixed"/>
          <w:tblCellMar>
            <w:top w:w="0" w:type="dxa"/>
            <w:left w:w="108" w:type="dxa"/>
            <w:bottom w:w="0" w:type="dxa"/>
            <w:right w:w="108" w:type="dxa"/>
          </w:tblCellMar>
        </w:tblPrEx>
        <w:trPr>
          <w:trHeight w:val="710" w:hRule="atLeast"/>
        </w:trPr>
        <w:tc>
          <w:tcPr>
            <w:tcW w:w="1736" w:type="dxa"/>
            <w:tcBorders>
              <w:top w:val="single" w:color="auto" w:sz="6" w:space="0"/>
              <w:left w:val="single" w:color="auto" w:sz="6" w:space="0"/>
              <w:bottom w:val="nil"/>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支付原因</w:t>
            </w:r>
          </w:p>
        </w:tc>
        <w:tc>
          <w:tcPr>
            <w:tcW w:w="6876" w:type="dxa"/>
            <w:gridSpan w:val="10"/>
            <w:tcBorders>
              <w:top w:val="single" w:color="auto" w:sz="6" w:space="0"/>
              <w:left w:val="single" w:color="auto" w:sz="6" w:space="0"/>
              <w:right w:val="single" w:color="auto" w:sz="6" w:space="0"/>
            </w:tcBorders>
          </w:tcPr>
          <w:p>
            <w:pPr>
              <w:rPr>
                <w:rFonts w:ascii="仿宋_GB2312" w:hAnsi="宋体" w:eastAsia="仿宋_GB2312"/>
                <w:color w:val="000000"/>
                <w:sz w:val="24"/>
              </w:rPr>
            </w:pPr>
            <w:r>
              <w:rPr>
                <w:rFonts w:hint="eastAsia" w:ascii="仿宋_GB2312" w:hAnsi="宋体" w:eastAsia="仿宋_GB2312"/>
                <w:color w:val="000000"/>
                <w:sz w:val="24"/>
              </w:rPr>
              <w:t>肇事逃逸（       ）、无财产可执行（       ）、找不到赔偿人（       ）、单位关闭注销（       ）、单位拒绝支付全部费用（        ）、对方不支付医疗费（       ）、其他（       ）</w:t>
            </w:r>
          </w:p>
        </w:tc>
      </w:tr>
      <w:tr>
        <w:tblPrEx>
          <w:tblLayout w:type="fixed"/>
          <w:tblCellMar>
            <w:top w:w="0" w:type="dxa"/>
            <w:left w:w="108" w:type="dxa"/>
            <w:bottom w:w="0" w:type="dxa"/>
            <w:right w:w="108" w:type="dxa"/>
          </w:tblCellMar>
        </w:tblPrEx>
        <w:trPr>
          <w:trHeight w:val="375" w:hRule="atLeast"/>
        </w:trPr>
        <w:tc>
          <w:tcPr>
            <w:tcW w:w="1736" w:type="dxa"/>
            <w:tcBorders>
              <w:top w:val="single" w:color="auto" w:sz="6" w:space="0"/>
              <w:left w:val="single" w:color="auto" w:sz="6" w:space="0"/>
              <w:bottom w:val="single" w:color="auto" w:sz="6" w:space="0"/>
              <w:right w:val="nil"/>
            </w:tcBorders>
            <w:vAlign w:val="center"/>
          </w:tcPr>
          <w:p>
            <w:pPr>
              <w:spacing w:line="240" w:lineRule="exact"/>
              <w:jc w:val="center"/>
              <w:rPr>
                <w:rFonts w:ascii="仿宋_GB2312" w:hAnsi="宋体" w:eastAsia="仿宋_GB2312"/>
                <w:color w:val="000000"/>
                <w:sz w:val="24"/>
              </w:rPr>
            </w:pPr>
            <w:r>
              <w:rPr>
                <w:rFonts w:hint="eastAsia" w:ascii="仿宋_GB2312" w:hAnsi="宋体" w:eastAsia="仿宋_GB2312"/>
                <w:color w:val="000000"/>
                <w:sz w:val="24"/>
              </w:rPr>
              <w:t>待遇项目</w:t>
            </w:r>
          </w:p>
        </w:tc>
        <w:tc>
          <w:tcPr>
            <w:tcW w:w="2356"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color w:val="000000"/>
                <w:sz w:val="24"/>
              </w:rPr>
            </w:pPr>
            <w:r>
              <w:rPr>
                <w:rFonts w:hint="eastAsia" w:ascii="仿宋_GB2312" w:hAnsi="宋体" w:eastAsia="仿宋_GB2312"/>
                <w:color w:val="000000"/>
                <w:sz w:val="24"/>
              </w:rPr>
              <w:t>申报支付金额</w:t>
            </w:r>
          </w:p>
        </w:tc>
        <w:tc>
          <w:tcPr>
            <w:tcW w:w="3273" w:type="dxa"/>
            <w:gridSpan w:val="6"/>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color w:val="000000"/>
                <w:sz w:val="24"/>
              </w:rPr>
            </w:pPr>
            <w:r>
              <w:rPr>
                <w:rFonts w:hint="eastAsia" w:ascii="仿宋_GB2312" w:hAnsi="宋体" w:eastAsia="仿宋_GB2312"/>
                <w:color w:val="000000"/>
                <w:sz w:val="24"/>
              </w:rPr>
              <w:t>附件名称</w:t>
            </w:r>
          </w:p>
        </w:tc>
        <w:tc>
          <w:tcPr>
            <w:tcW w:w="1247" w:type="dxa"/>
            <w:gridSpan w:val="2"/>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仿宋_GB2312" w:hAnsi="宋体" w:eastAsia="仿宋_GB2312"/>
                <w:color w:val="000000"/>
                <w:sz w:val="24"/>
              </w:rPr>
            </w:pPr>
            <w:r>
              <w:rPr>
                <w:rFonts w:hint="eastAsia" w:ascii="仿宋_GB2312" w:hAnsi="宋体" w:eastAsia="仿宋_GB2312"/>
                <w:color w:val="000000"/>
                <w:sz w:val="24"/>
              </w:rPr>
              <w:t>票据张数</w:t>
            </w: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c>
          <w:tcPr>
            <w:tcW w:w="677"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r>
        <w:tblPrEx>
          <w:tblLayout w:type="fixed"/>
          <w:tblCellMar>
            <w:top w:w="0" w:type="dxa"/>
            <w:left w:w="108" w:type="dxa"/>
            <w:bottom w:w="0" w:type="dxa"/>
            <w:right w:w="108" w:type="dxa"/>
          </w:tblCellMar>
        </w:tblPrEx>
        <w:trPr>
          <w:trHeight w:val="369" w:hRule="atLeast"/>
        </w:trPr>
        <w:tc>
          <w:tcPr>
            <w:tcW w:w="1736" w:type="dxa"/>
            <w:tcBorders>
              <w:top w:val="single" w:color="auto" w:sz="6" w:space="0"/>
              <w:left w:val="single" w:color="auto" w:sz="6" w:space="0"/>
              <w:bottom w:val="single" w:color="auto" w:sz="6" w:space="0"/>
              <w:right w:val="single" w:color="auto" w:sz="6" w:space="0"/>
            </w:tcBorders>
            <w:vAlign w:val="center"/>
          </w:tcPr>
          <w:p>
            <w:pPr>
              <w:jc w:val="center"/>
              <w:rPr>
                <w:rFonts w:ascii="仿宋_GB2312" w:hAnsi="宋体" w:eastAsia="仿宋_GB2312"/>
                <w:color w:val="000000"/>
                <w:sz w:val="24"/>
              </w:rPr>
            </w:pPr>
            <w:r>
              <w:rPr>
                <w:rFonts w:hint="eastAsia" w:ascii="仿宋_GB2312" w:hAnsi="宋体" w:eastAsia="仿宋_GB2312"/>
                <w:color w:val="000000"/>
                <w:sz w:val="24"/>
              </w:rPr>
              <w:t>合计</w:t>
            </w:r>
          </w:p>
        </w:tc>
        <w:tc>
          <w:tcPr>
            <w:tcW w:w="1016" w:type="dxa"/>
            <w:tcBorders>
              <w:top w:val="single" w:color="auto" w:sz="6" w:space="0"/>
              <w:left w:val="single" w:color="auto" w:sz="6" w:space="0"/>
              <w:bottom w:val="single" w:color="auto" w:sz="6" w:space="0"/>
              <w:right w:val="nil"/>
            </w:tcBorders>
            <w:vAlign w:val="center"/>
          </w:tcPr>
          <w:p>
            <w:pPr>
              <w:jc w:val="center"/>
              <w:rPr>
                <w:rFonts w:ascii="仿宋_GB2312" w:hAnsi="宋体" w:eastAsia="仿宋_GB2312"/>
                <w:color w:val="000000"/>
                <w:sz w:val="24"/>
              </w:rPr>
            </w:pPr>
          </w:p>
        </w:tc>
        <w:tc>
          <w:tcPr>
            <w:tcW w:w="1340"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869" w:type="dxa"/>
            <w:gridSpan w:val="2"/>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784"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436"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1184" w:type="dxa"/>
            <w:gridSpan w:val="2"/>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677" w:type="dxa"/>
            <w:tcBorders>
              <w:top w:val="single" w:color="auto" w:sz="6" w:space="0"/>
              <w:left w:val="nil"/>
              <w:bottom w:val="single" w:color="auto" w:sz="6" w:space="0"/>
              <w:right w:val="nil"/>
            </w:tcBorders>
            <w:vAlign w:val="center"/>
          </w:tcPr>
          <w:p>
            <w:pPr>
              <w:jc w:val="center"/>
              <w:rPr>
                <w:rFonts w:ascii="仿宋_GB2312" w:hAnsi="宋体" w:eastAsia="仿宋_GB2312"/>
                <w:color w:val="000000"/>
                <w:sz w:val="24"/>
              </w:rPr>
            </w:pPr>
          </w:p>
        </w:tc>
        <w:tc>
          <w:tcPr>
            <w:tcW w:w="570" w:type="dxa"/>
            <w:tcBorders>
              <w:top w:val="single" w:color="auto" w:sz="6" w:space="0"/>
              <w:left w:val="nil"/>
              <w:bottom w:val="single" w:color="auto" w:sz="6" w:space="0"/>
              <w:right w:val="single" w:color="auto" w:sz="6" w:space="0"/>
            </w:tcBorders>
            <w:vAlign w:val="center"/>
          </w:tcPr>
          <w:p>
            <w:pPr>
              <w:jc w:val="center"/>
              <w:rPr>
                <w:rFonts w:ascii="仿宋_GB2312" w:hAnsi="宋体" w:eastAsia="仿宋_GB2312"/>
                <w:color w:val="000000"/>
                <w:sz w:val="24"/>
              </w:rPr>
            </w:pPr>
          </w:p>
        </w:tc>
      </w:tr>
    </w:tbl>
    <w:p>
      <w:pPr>
        <w:pStyle w:val="61"/>
        <w:ind w:firstLine="0" w:firstLineChars="0"/>
        <w:rPr>
          <w:rFonts w:ascii="仿宋_GB2312" w:eastAsia="仿宋_GB2312"/>
          <w:color w:val="000000"/>
          <w:sz w:val="24"/>
        </w:rPr>
      </w:pPr>
      <w:r>
        <w:rPr>
          <w:rFonts w:hint="eastAsia" w:ascii="仿宋_GB2312" w:eastAsia="仿宋_GB2312"/>
          <w:color w:val="000000"/>
          <w:sz w:val="24"/>
        </w:rPr>
        <w:t>申请人：        申请时间：         联系电话：          经办机构确认：</w:t>
      </w:r>
    </w:p>
    <w:p>
      <w:pPr>
        <w:pStyle w:val="11"/>
        <w:rPr>
          <w:rFonts w:ascii="仿宋_GB2312" w:hAnsi="宋体" w:eastAsia="仿宋_GB2312" w:cs="宋体"/>
          <w:color w:val="000000"/>
          <w:kern w:val="0"/>
          <w:sz w:val="24"/>
        </w:rPr>
      </w:pPr>
      <w:r>
        <w:rPr>
          <w:rFonts w:hint="eastAsia" w:ascii="仿宋_GB2312" w:hAnsi="宋体" w:eastAsia="仿宋_GB2312" w:cs="宋体"/>
          <w:color w:val="000000"/>
          <w:kern w:val="0"/>
          <w:sz w:val="24"/>
        </w:rPr>
        <w:t>备注：本表一式两份，申请人、社会保险经办机构各执一份</w:t>
      </w:r>
    </w:p>
    <w:p>
      <w:pPr>
        <w:pStyle w:val="11"/>
        <w:rPr>
          <w:rFonts w:ascii="仿宋_GB2312" w:eastAsia="仿宋_GB2312"/>
          <w:sz w:val="32"/>
        </w:rPr>
      </w:pPr>
    </w:p>
    <w:p>
      <w:pPr>
        <w:pStyle w:val="11"/>
        <w:rPr>
          <w:rFonts w:ascii="仿宋_GB2312" w:eastAsia="仿宋_GB2312"/>
          <w:sz w:val="32"/>
        </w:rPr>
      </w:pPr>
    </w:p>
    <w:p>
      <w:pPr>
        <w:pStyle w:val="11"/>
        <w:rPr>
          <w:rFonts w:ascii="仿宋_GB2312" w:eastAsia="仿宋_GB2312"/>
          <w:sz w:val="32"/>
        </w:rPr>
      </w:pP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附件16</w:t>
      </w:r>
    </w:p>
    <w:p>
      <w:pPr>
        <w:jc w:val="center"/>
        <w:rPr>
          <w:rFonts w:ascii="仿宋_GB2312" w:hAnsi="仿宋" w:eastAsia="仿宋_GB2312"/>
          <w:color w:val="000000"/>
          <w:sz w:val="32"/>
          <w:szCs w:val="32"/>
        </w:rPr>
      </w:pP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工伤保险基金不予先行支付告知书</w:t>
      </w:r>
    </w:p>
    <w:p>
      <w:pPr>
        <w:ind w:firstLine="880"/>
        <w:jc w:val="center"/>
        <w:rPr>
          <w:rFonts w:ascii="仿宋_GB2312" w:hAnsi="黑体" w:eastAsia="仿宋_GB2312"/>
          <w:color w:val="000000"/>
          <w:sz w:val="24"/>
        </w:rPr>
      </w:pPr>
    </w:p>
    <w:p>
      <w:pPr>
        <w:ind w:firstLine="880"/>
        <w:jc w:val="center"/>
        <w:rPr>
          <w:rFonts w:ascii="仿宋_GB2312" w:hAnsi="黑体" w:eastAsia="仿宋_GB2312"/>
          <w:color w:val="000000"/>
          <w:sz w:val="24"/>
        </w:rPr>
      </w:pPr>
    </w:p>
    <w:p>
      <w:pPr>
        <w:ind w:firstLine="880"/>
        <w:jc w:val="center"/>
        <w:rPr>
          <w:rFonts w:ascii="仿宋_GB2312" w:hAnsi="黑体" w:eastAsia="仿宋_GB2312"/>
          <w:color w:val="000000"/>
          <w:sz w:val="24"/>
        </w:rPr>
      </w:pPr>
    </w:p>
    <w:p>
      <w:pPr>
        <w:ind w:firstLine="880"/>
        <w:jc w:val="center"/>
        <w:rPr>
          <w:rFonts w:ascii="仿宋_GB2312" w:hAnsi="黑体" w:eastAsia="仿宋_GB2312"/>
          <w:color w:val="000000"/>
          <w:sz w:val="24"/>
        </w:rPr>
      </w:pPr>
    </w:p>
    <w:p>
      <w:pPr>
        <w:rPr>
          <w:rFonts w:ascii="仿宋_GB2312" w:hAnsi="仿宋" w:eastAsia="仿宋_GB2312"/>
          <w:color w:val="000000"/>
          <w:sz w:val="32"/>
          <w:szCs w:val="32"/>
        </w:rPr>
      </w:pP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职工：</w:t>
      </w:r>
    </w:p>
    <w:p>
      <w:pPr>
        <w:ind w:firstLine="640"/>
        <w:jc w:val="left"/>
        <w:rPr>
          <w:rFonts w:ascii="仿宋_GB2312" w:hAnsi="仿宋" w:eastAsia="仿宋_GB2312"/>
          <w:color w:val="000000"/>
          <w:sz w:val="32"/>
          <w:szCs w:val="32"/>
        </w:rPr>
      </w:pPr>
      <w:r>
        <w:rPr>
          <w:rFonts w:hint="eastAsia" w:ascii="仿宋_GB2312" w:hAnsi="仿宋" w:eastAsia="仿宋_GB2312"/>
          <w:color w:val="000000"/>
          <w:sz w:val="32"/>
          <w:szCs w:val="32"/>
        </w:rPr>
        <w:t>你申请先行支付工伤待遇材料收悉，根据《社会保险基金先行支付暂行办法》（人力资源和社会保障部令第15号）和《宁夏回族自治区工伤保险经办规程（试行）》（</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条</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款）规定，你提供的材料不符合工伤保险基金先行支付规定，其不予先行支付的理由是</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。请你补正以下材料</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w:t>
      </w:r>
    </w:p>
    <w:p>
      <w:pPr>
        <w:spacing w:before="54" w:line="355" w:lineRule="auto"/>
        <w:ind w:left="15" w:right="154" w:firstLine="640"/>
        <w:rPr>
          <w:rFonts w:ascii="仿宋_GB2312" w:hAnsi="仿宋_GB2312" w:eastAsia="仿宋_GB2312" w:cs="仿宋_GB2312"/>
          <w:sz w:val="31"/>
          <w:szCs w:val="31"/>
        </w:rPr>
      </w:pPr>
      <w:r>
        <w:rPr>
          <w:rFonts w:hint="eastAsia" w:ascii="仿宋_GB2312" w:hAnsi="仿宋_GB2312" w:eastAsia="仿宋_GB2312" w:cs="仿宋_GB2312"/>
          <w:spacing w:val="5"/>
          <w:sz w:val="31"/>
          <w:szCs w:val="31"/>
        </w:rPr>
        <w:t>若对本告知书不服的，可在收到本告知书之日</w:t>
      </w:r>
      <w:r>
        <w:rPr>
          <w:rFonts w:hint="eastAsia" w:ascii="仿宋_GB2312" w:hAnsi="仿宋_GB2312" w:eastAsia="仿宋_GB2312" w:cs="仿宋_GB2312"/>
          <w:spacing w:val="4"/>
          <w:sz w:val="31"/>
          <w:szCs w:val="31"/>
        </w:rPr>
        <w:t>起</w:t>
      </w:r>
      <w:r>
        <w:rPr>
          <w:rFonts w:ascii="仿宋_GB2312" w:hAnsi="仿宋_GB2312" w:eastAsia="仿宋_GB2312" w:cs="仿宋_GB2312"/>
          <w:spacing w:val="4"/>
          <w:sz w:val="31"/>
          <w:szCs w:val="31"/>
        </w:rPr>
        <w:t>60</w:t>
      </w:r>
      <w:r>
        <w:rPr>
          <w:rFonts w:hint="eastAsia" w:ascii="仿宋_GB2312" w:hAnsi="仿宋_GB2312" w:eastAsia="仿宋_GB2312" w:cs="仿宋_GB2312"/>
          <w:spacing w:val="4"/>
          <w:sz w:val="31"/>
          <w:szCs w:val="31"/>
        </w:rPr>
        <w:t>日内向</w:t>
      </w:r>
      <w:r>
        <w:rPr>
          <w:rFonts w:hint="eastAsia" w:ascii="仿宋_GB2312" w:hAnsi="仿宋_GB2312" w:eastAsia="仿宋_GB2312" w:cs="仿宋_GB2312"/>
          <w:sz w:val="31"/>
          <w:szCs w:val="31"/>
          <w:u w:val="single"/>
        </w:rPr>
        <w:t xml:space="preserve">        </w:t>
      </w:r>
      <w:r>
        <w:rPr>
          <w:rFonts w:ascii="仿宋_GB2312" w:hAnsi="仿宋_GB2312" w:eastAsia="仿宋_GB2312" w:cs="仿宋_GB2312"/>
          <w:sz w:val="31"/>
          <w:szCs w:val="31"/>
        </w:rPr>
        <w:t>人民政府提起行政复议或者六个月内向</w:t>
      </w:r>
      <w:r>
        <w:rPr>
          <w:rFonts w:ascii="仿宋_GB2312" w:hAnsi="仿宋_GB2312" w:eastAsia="仿宋_GB2312" w:cs="仿宋_GB2312"/>
          <w:sz w:val="31"/>
          <w:szCs w:val="31"/>
          <w:u w:val="single"/>
        </w:rPr>
        <w:t xml:space="preserve">       </w:t>
      </w:r>
      <w:r>
        <w:rPr>
          <w:rFonts w:ascii="仿宋_GB2312" w:hAnsi="仿宋_GB2312" w:eastAsia="仿宋_GB2312" w:cs="仿宋_GB2312"/>
          <w:sz w:val="31"/>
          <w:szCs w:val="31"/>
        </w:rPr>
        <w:t>人民法院提起行政诉讼。</w:t>
      </w:r>
    </w:p>
    <w:p>
      <w:pPr>
        <w:pStyle w:val="8"/>
        <w:ind w:left="0" w:leftChars="0"/>
        <w:jc w:val="left"/>
        <w:rPr>
          <w:rFonts w:ascii="仿宋_GB2312" w:eastAsia="仿宋_GB2312"/>
          <w:color w:val="000000"/>
          <w:sz w:val="32"/>
          <w:szCs w:val="32"/>
        </w:rPr>
      </w:pPr>
      <w:r>
        <w:rPr>
          <w:rFonts w:hint="eastAsia" w:ascii="仿宋_GB2312" w:eastAsia="仿宋_GB2312"/>
          <w:color w:val="000000"/>
          <w:sz w:val="32"/>
          <w:szCs w:val="32"/>
        </w:rPr>
        <w:t>。</w:t>
      </w:r>
    </w:p>
    <w:p>
      <w:pPr>
        <w:ind w:firstLine="640"/>
        <w:rPr>
          <w:rFonts w:ascii="仿宋_GB2312" w:hAnsi="仿宋" w:eastAsia="仿宋_GB2312"/>
          <w:color w:val="000000"/>
          <w:sz w:val="32"/>
          <w:szCs w:val="32"/>
        </w:rPr>
      </w:pPr>
    </w:p>
    <w:p>
      <w:pPr>
        <w:ind w:firstLine="640"/>
        <w:rPr>
          <w:rFonts w:ascii="仿宋_GB2312" w:hAnsi="仿宋" w:eastAsia="仿宋_GB2312"/>
          <w:color w:val="000000"/>
          <w:sz w:val="32"/>
          <w:szCs w:val="32"/>
        </w:rPr>
      </w:pPr>
    </w:p>
    <w:p>
      <w:pPr>
        <w:pStyle w:val="9"/>
        <w:ind w:firstLine="640"/>
        <w:rPr>
          <w:color w:val="000000"/>
          <w:szCs w:val="32"/>
        </w:rPr>
      </w:pPr>
    </w:p>
    <w:p>
      <w:pPr>
        <w:ind w:firstLine="640"/>
        <w:rPr>
          <w:rFonts w:ascii="仿宋_GB2312" w:hAnsi="仿宋" w:eastAsia="仿宋_GB2312"/>
          <w:color w:val="000000"/>
          <w:sz w:val="32"/>
          <w:szCs w:val="32"/>
        </w:rPr>
      </w:pPr>
      <w:r>
        <w:rPr>
          <w:rFonts w:hint="eastAsia" w:ascii="仿宋_GB2312" w:hAnsi="仿宋" w:eastAsia="仿宋_GB2312"/>
          <w:color w:val="000000"/>
          <w:sz w:val="32"/>
          <w:szCs w:val="32"/>
        </w:rPr>
        <w:t xml:space="preserve">                         （签章）</w:t>
      </w:r>
    </w:p>
    <w:p>
      <w:pPr>
        <w:ind w:firstLine="640"/>
        <w:rPr>
          <w:rFonts w:ascii="仿宋_GB2312" w:hAnsi="仿宋" w:eastAsia="仿宋_GB2312"/>
          <w:color w:val="000000"/>
          <w:sz w:val="32"/>
          <w:szCs w:val="32"/>
        </w:rPr>
      </w:pPr>
      <w:r>
        <w:rPr>
          <w:rFonts w:hint="eastAsia" w:ascii="仿宋_GB2312" w:hAnsi="仿宋" w:eastAsia="仿宋_GB2312"/>
          <w:color w:val="000000"/>
          <w:sz w:val="32"/>
          <w:szCs w:val="32"/>
        </w:rPr>
        <w:t xml:space="preserve">                       年    月    日</w:t>
      </w:r>
    </w:p>
    <w:p>
      <w:pPr>
        <w:rPr>
          <w:rFonts w:ascii="仿宋_GB2312" w:eastAsia="仿宋_GB2312"/>
          <w:color w:val="000000"/>
          <w:sz w:val="32"/>
          <w:szCs w:val="32"/>
        </w:rPr>
      </w:pPr>
    </w:p>
    <w:p>
      <w:pPr>
        <w:pStyle w:val="61"/>
        <w:ind w:firstLine="0" w:firstLineChars="0"/>
        <w:rPr>
          <w:rFonts w:ascii="仿宋_GB2312" w:eastAsia="仿宋_GB2312"/>
          <w:color w:val="000000"/>
          <w:sz w:val="32"/>
          <w:szCs w:val="32"/>
        </w:rPr>
      </w:pPr>
    </w:p>
    <w:p>
      <w:pPr>
        <w:pStyle w:val="61"/>
        <w:ind w:firstLine="0" w:firstLineChars="0"/>
        <w:rPr>
          <w:rFonts w:ascii="仿宋_GB2312" w:eastAsia="仿宋_GB2312"/>
          <w:color w:val="000000"/>
          <w:sz w:val="24"/>
        </w:rPr>
      </w:pPr>
    </w:p>
    <w:p>
      <w:pPr>
        <w:pStyle w:val="61"/>
        <w:ind w:firstLine="0" w:firstLineChars="0"/>
        <w:rPr>
          <w:rFonts w:ascii="仿宋_GB2312" w:eastAsia="仿宋_GB2312"/>
          <w:color w:val="000000"/>
          <w:sz w:val="24"/>
        </w:rPr>
      </w:pPr>
    </w:p>
    <w:p>
      <w:pPr>
        <w:pStyle w:val="61"/>
        <w:ind w:firstLine="0" w:firstLineChars="0"/>
        <w:rPr>
          <w:rFonts w:ascii="仿宋_GB2312" w:eastAsia="仿宋_GB2312"/>
          <w:color w:val="000000"/>
          <w:sz w:val="24"/>
        </w:rPr>
      </w:pPr>
    </w:p>
    <w:p>
      <w:pPr>
        <w:pStyle w:val="17"/>
        <w:shd w:val="clear" w:color="auto" w:fill="FFFFFF"/>
        <w:spacing w:before="0" w:beforeAutospacing="0" w:after="0" w:afterAutospacing="0" w:line="560" w:lineRule="exact"/>
        <w:outlineLvl w:val="0"/>
        <w:rPr>
          <w:rFonts w:ascii="黑体" w:hAnsi="黑体" w:eastAsia="黑体" w:cs="黑体"/>
          <w:bCs/>
          <w:color w:val="000000"/>
          <w:sz w:val="32"/>
          <w:szCs w:val="32"/>
        </w:rPr>
      </w:pPr>
      <w:r>
        <w:rPr>
          <w:rFonts w:hint="eastAsia" w:ascii="黑体" w:hAnsi="黑体" w:eastAsia="黑体" w:cs="黑体"/>
          <w:bCs/>
          <w:color w:val="000000"/>
          <w:sz w:val="32"/>
          <w:szCs w:val="32"/>
        </w:rPr>
        <w:t xml:space="preserve">附件17 </w:t>
      </w:r>
    </w:p>
    <w:p>
      <w:pPr>
        <w:widowControl/>
        <w:jc w:val="center"/>
        <w:rPr>
          <w:rFonts w:ascii="方正小标宋简体" w:hAnsi="方正小标宋简体" w:eastAsia="方正小标宋简体" w:cs="方正小标宋简体"/>
          <w:bCs/>
          <w:color w:val="000000"/>
          <w:sz w:val="36"/>
          <w:szCs w:val="36"/>
        </w:rPr>
      </w:pPr>
      <w:r>
        <w:rPr>
          <w:rFonts w:hint="eastAsia" w:ascii="方正小标宋简体" w:hAnsi="方正小标宋简体" w:eastAsia="方正小标宋简体" w:cs="方正小标宋简体"/>
          <w:bCs/>
          <w:color w:val="000000"/>
          <w:sz w:val="36"/>
          <w:szCs w:val="36"/>
        </w:rPr>
        <w:t>承接工伤保险责任协议书</w:t>
      </w:r>
    </w:p>
    <w:p>
      <w:pPr>
        <w:widowControl/>
        <w:spacing w:before="120" w:after="120" w:line="480" w:lineRule="exact"/>
        <w:rPr>
          <w:rFonts w:ascii="仿宋_GB2312" w:eastAsia="仿宋_GB2312"/>
          <w:color w:val="000000"/>
          <w:sz w:val="28"/>
        </w:rPr>
      </w:pPr>
      <w:r>
        <w:rPr>
          <w:rFonts w:hint="eastAsia" w:ascii="仿宋_GB2312" w:eastAsia="仿宋_GB2312"/>
          <w:color w:val="000000"/>
          <w:sz w:val="28"/>
        </w:rPr>
        <w:t xml:space="preserve">甲方（原用人单位）：                      </w:t>
      </w:r>
    </w:p>
    <w:p>
      <w:pPr>
        <w:widowControl/>
        <w:spacing w:before="120" w:after="120" w:line="480" w:lineRule="exact"/>
        <w:rPr>
          <w:rFonts w:ascii="仿宋_GB2312" w:eastAsia="仿宋_GB2312"/>
          <w:color w:val="000000"/>
          <w:sz w:val="28"/>
        </w:rPr>
      </w:pPr>
      <w:r>
        <w:rPr>
          <w:rFonts w:hint="eastAsia" w:ascii="仿宋_GB2312" w:eastAsia="仿宋_GB2312"/>
          <w:color w:val="000000"/>
          <w:sz w:val="28"/>
        </w:rPr>
        <w:t xml:space="preserve">乙方（新用人单位）：                      </w:t>
      </w:r>
    </w:p>
    <w:p>
      <w:pPr>
        <w:widowControl/>
        <w:spacing w:line="480" w:lineRule="exact"/>
        <w:ind w:firstLine="640"/>
        <w:rPr>
          <w:rFonts w:ascii="仿宋_GB2312" w:eastAsia="仿宋_GB2312"/>
          <w:color w:val="000000"/>
          <w:sz w:val="28"/>
        </w:rPr>
      </w:pPr>
      <w:r>
        <w:rPr>
          <w:rFonts w:hint="eastAsia" w:ascii="仿宋_GB2312" w:eastAsia="仿宋_GB2312"/>
          <w:color w:val="000000"/>
          <w:sz w:val="28"/>
        </w:rPr>
        <w:t>甲、乙双方经协商，就工伤职工              （身份证号：                           ）的工伤保险相关事宜达成一致并签订此协议，双方应严格遵照执行。</w:t>
      </w:r>
    </w:p>
    <w:p>
      <w:pPr>
        <w:spacing w:line="480" w:lineRule="exact"/>
        <w:ind w:firstLine="560" w:firstLineChars="200"/>
        <w:rPr>
          <w:rFonts w:ascii="仿宋_GB2312" w:eastAsia="仿宋_GB2312"/>
          <w:color w:val="000000"/>
          <w:sz w:val="28"/>
        </w:rPr>
      </w:pPr>
      <w:r>
        <w:rPr>
          <w:rFonts w:hint="eastAsia" w:ascii="仿宋_GB2312" w:eastAsia="仿宋_GB2312"/>
          <w:color w:val="000000"/>
          <w:sz w:val="28"/>
        </w:rPr>
        <w:t>第一条  甲方同意解除与该工伤职工的工伤保险关系、负责办理工伤保险关系转出手续。乙方同意承接该工伤职工的工伤保险关系、负责办理工伤保险关系转入手续。</w:t>
      </w:r>
    </w:p>
    <w:p>
      <w:pPr>
        <w:spacing w:line="480" w:lineRule="exact"/>
        <w:ind w:firstLine="560" w:firstLineChars="200"/>
        <w:rPr>
          <w:rFonts w:ascii="仿宋_GB2312" w:hAnsi="仿宋_GB2312" w:eastAsia="仿宋_GB2312" w:cs="仿宋_GB2312"/>
          <w:color w:val="000000"/>
          <w:sz w:val="28"/>
          <w:szCs w:val="28"/>
        </w:rPr>
      </w:pPr>
      <w:r>
        <w:rPr>
          <w:rFonts w:hint="eastAsia" w:ascii="仿宋_GB2312" w:eastAsia="仿宋_GB2312"/>
          <w:color w:val="000000"/>
          <w:sz w:val="28"/>
          <w:szCs w:val="28"/>
        </w:rPr>
        <w:t xml:space="preserve">第二条  </w:t>
      </w:r>
      <w:r>
        <w:rPr>
          <w:rFonts w:hint="eastAsia" w:ascii="仿宋_GB2312" w:hAnsi="仿宋_GB2312" w:eastAsia="仿宋_GB2312" w:cs="仿宋_GB2312"/>
          <w:color w:val="000000"/>
          <w:sz w:val="28"/>
          <w:szCs w:val="28"/>
        </w:rPr>
        <w:t>甲方通过公共服务系统为</w:t>
      </w:r>
      <w:r>
        <w:rPr>
          <w:rFonts w:hint="eastAsia" w:ascii="仿宋_GB2312" w:eastAsia="仿宋_GB2312"/>
          <w:color w:val="000000"/>
          <w:sz w:val="28"/>
          <w:szCs w:val="28"/>
        </w:rPr>
        <w:t>工伤职工</w:t>
      </w:r>
      <w:r>
        <w:rPr>
          <w:rFonts w:hint="eastAsia" w:ascii="仿宋_GB2312" w:hAnsi="仿宋_GB2312" w:eastAsia="仿宋_GB2312" w:cs="仿宋_GB2312"/>
          <w:color w:val="000000"/>
          <w:sz w:val="28"/>
          <w:szCs w:val="28"/>
        </w:rPr>
        <w:t>做“停保”，注明原因为“转往XX地”，并做参保人员减少业务。乙方在公共服务系统为</w:t>
      </w:r>
      <w:r>
        <w:rPr>
          <w:rFonts w:hint="eastAsia" w:ascii="仿宋_GB2312" w:eastAsia="仿宋_GB2312"/>
          <w:color w:val="000000"/>
          <w:sz w:val="28"/>
          <w:szCs w:val="28"/>
        </w:rPr>
        <w:t>工伤职工</w:t>
      </w:r>
      <w:r>
        <w:rPr>
          <w:rFonts w:hint="eastAsia" w:ascii="仿宋_GB2312" w:hAnsi="仿宋_GB2312" w:eastAsia="仿宋_GB2312" w:cs="仿宋_GB2312"/>
          <w:color w:val="000000"/>
          <w:sz w:val="28"/>
          <w:szCs w:val="28"/>
        </w:rPr>
        <w:t>做人员增加业务，并注明增加原因为“XX地转入”。</w:t>
      </w:r>
    </w:p>
    <w:p>
      <w:pPr>
        <w:spacing w:line="480" w:lineRule="exact"/>
        <w:ind w:firstLine="560" w:firstLineChars="200"/>
        <w:rPr>
          <w:rFonts w:ascii="仿宋_GB2312" w:hAnsi="仿宋_GB2312" w:eastAsia="仿宋_GB2312" w:cs="仿宋_GB2312"/>
          <w:color w:val="000000"/>
          <w:sz w:val="28"/>
          <w:szCs w:val="28"/>
        </w:rPr>
      </w:pPr>
      <w:r>
        <w:rPr>
          <w:rFonts w:hint="eastAsia" w:ascii="仿宋_GB2312" w:eastAsia="仿宋_GB2312"/>
          <w:color w:val="000000"/>
          <w:sz w:val="28"/>
          <w:szCs w:val="28"/>
        </w:rPr>
        <w:t xml:space="preserve">第三条  </w:t>
      </w:r>
      <w:r>
        <w:rPr>
          <w:rFonts w:hint="eastAsia" w:ascii="仿宋_GB2312" w:hAnsi="仿宋_GB2312" w:eastAsia="仿宋_GB2312" w:cs="仿宋_GB2312"/>
          <w:color w:val="000000"/>
          <w:sz w:val="28"/>
          <w:szCs w:val="28"/>
        </w:rPr>
        <w:t>乙方提供单位变更、调动相关资料和《承接工伤保险责任协议书》报转入地经办机构审核备案，转入地经办机构在一体化系统办理工伤保险关系转移业务。工伤保险待遇由工伤保险关系转入地经办机构从关系转入后按规定支付，包括工伤职工在参保缴费期应由转出地经办机构支付但尚未支付的工伤保险待遇。</w:t>
      </w:r>
    </w:p>
    <w:p>
      <w:pPr>
        <w:spacing w:line="480" w:lineRule="exact"/>
        <w:ind w:firstLine="560" w:firstLineChars="200"/>
        <w:rPr>
          <w:rFonts w:ascii="仿宋_GB2312" w:eastAsia="仿宋_GB2312"/>
          <w:color w:val="000000"/>
          <w:sz w:val="28"/>
        </w:rPr>
      </w:pPr>
      <w:r>
        <w:rPr>
          <w:rFonts w:hint="eastAsia" w:ascii="仿宋_GB2312" w:eastAsia="仿宋_GB2312"/>
          <w:color w:val="000000"/>
          <w:sz w:val="28"/>
        </w:rPr>
        <w:t>第四条  工伤职工与甲方解除劳动关系、与乙方建立劳动关系，甲方不支付一次性伤残就业补助金。在工伤职工与乙方解除劳动关系时，由乙方支付一次性伤残就业补助金。</w:t>
      </w:r>
    </w:p>
    <w:p>
      <w:pPr>
        <w:spacing w:line="480" w:lineRule="exact"/>
        <w:ind w:left="640"/>
        <w:rPr>
          <w:rFonts w:ascii="仿宋_GB2312" w:eastAsia="仿宋_GB2312"/>
          <w:color w:val="000000"/>
          <w:sz w:val="28"/>
        </w:rPr>
      </w:pPr>
      <w:r>
        <w:rPr>
          <w:rFonts w:hint="eastAsia" w:ascii="仿宋_GB2312" w:eastAsia="仿宋_GB2312"/>
          <w:color w:val="000000"/>
          <w:sz w:val="28"/>
        </w:rPr>
        <w:t>第五条  此协议一式二份，甲乙双方各一份。</w:t>
      </w:r>
    </w:p>
    <w:p>
      <w:pPr>
        <w:spacing w:line="480" w:lineRule="exact"/>
        <w:ind w:left="640"/>
        <w:rPr>
          <w:rFonts w:ascii="仿宋_GB2312" w:eastAsia="仿宋_GB2312"/>
          <w:color w:val="000000"/>
          <w:sz w:val="28"/>
        </w:rPr>
      </w:pPr>
      <w:r>
        <w:rPr>
          <w:rFonts w:hint="eastAsia" w:ascii="仿宋_GB2312" w:eastAsia="仿宋_GB2312"/>
          <w:color w:val="000000"/>
          <w:sz w:val="28"/>
        </w:rPr>
        <w:t>第六条  此协议自签订之日起生效。</w:t>
      </w:r>
    </w:p>
    <w:p>
      <w:pPr>
        <w:widowControl/>
        <w:spacing w:before="120" w:after="120" w:line="480" w:lineRule="exact"/>
        <w:rPr>
          <w:rFonts w:ascii="仿宋_GB2312" w:eastAsia="仿宋_GB2312"/>
          <w:color w:val="000000"/>
          <w:sz w:val="28"/>
        </w:rPr>
      </w:pPr>
      <w:r>
        <w:rPr>
          <w:rFonts w:hint="eastAsia" w:ascii="仿宋_GB2312" w:eastAsia="仿宋_GB2312"/>
          <w:color w:val="000000"/>
          <w:sz w:val="28"/>
        </w:rPr>
        <w:t>甲方（盖章）：　　　　　　     乙方（盖章）：</w:t>
      </w:r>
    </w:p>
    <w:p>
      <w:pPr>
        <w:widowControl/>
        <w:spacing w:before="120" w:after="120" w:line="480" w:lineRule="exact"/>
        <w:rPr>
          <w:rFonts w:ascii="仿宋_GB2312" w:eastAsia="仿宋_GB2312"/>
          <w:color w:val="000000"/>
          <w:sz w:val="28"/>
        </w:rPr>
      </w:pPr>
      <w:r>
        <w:rPr>
          <w:rFonts w:hint="eastAsia" w:ascii="仿宋_GB2312" w:eastAsia="仿宋_GB2312"/>
          <w:color w:val="000000"/>
          <w:sz w:val="28"/>
        </w:rPr>
        <w:t xml:space="preserve">法定代表人（签字） ：         法定代表人（签字）： </w:t>
      </w:r>
    </w:p>
    <w:p>
      <w:pPr>
        <w:widowControl/>
        <w:spacing w:before="120" w:after="120" w:line="480" w:lineRule="exact"/>
        <w:rPr>
          <w:rFonts w:ascii="仿宋_GB2312" w:eastAsia="仿宋_GB2312"/>
          <w:color w:val="000000"/>
          <w:szCs w:val="32"/>
        </w:rPr>
      </w:pPr>
      <w:r>
        <w:rPr>
          <w:rFonts w:hint="eastAsia" w:ascii="仿宋_GB2312" w:eastAsia="仿宋_GB2312"/>
          <w:color w:val="000000"/>
          <w:sz w:val="28"/>
        </w:rPr>
        <w:t>签定日期：   年   月  日      签定日期：   年   月  日</w:t>
      </w:r>
    </w:p>
    <w:sectPr>
      <w:footerReference r:id="rId5" w:type="default"/>
      <w:pgSz w:w="11906" w:h="16838"/>
      <w:pgMar w:top="1440" w:right="1800" w:bottom="1276" w:left="180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FZXBSJW--GB1-0">
    <w:altName w:val="Segoe Print"/>
    <w:panose1 w:val="00000000000000000000"/>
    <w:charset w:val="00"/>
    <w:family w:val="auto"/>
    <w:pitch w:val="default"/>
    <w:sig w:usb0="00000000" w:usb1="00000000" w:usb2="00000000"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swiss"/>
    <w:pitch w:val="default"/>
    <w:sig w:usb0="E10022FF" w:usb1="C000E47F" w:usb2="00000029" w:usb3="00000000" w:csb0="200001DF" w:csb1="20000000"/>
  </w:font>
  <w:font w:name="微软雅黑">
    <w:panose1 w:val="020B0503020204020204"/>
    <w:charset w:val="86"/>
    <w:family w:val="swiss"/>
    <w:pitch w:val="default"/>
    <w:sig w:usb0="80000287" w:usb1="280F3C52" w:usb2="00000016" w:usb3="00000000" w:csb0="0004001F" w:csb1="00000000"/>
  </w:font>
  <w:font w:name="Times New Roman Regular">
    <w:altName w:val="微软雅黑"/>
    <w:panose1 w:val="00000000000000000000"/>
    <w:charset w:val="00"/>
    <w:family w:val="auto"/>
    <w:pitch w:val="default"/>
    <w:sig w:usb0="00000000" w:usb1="00000000" w:usb2="00000001" w:usb3="00000000" w:csb0="400001BF" w:csb1="DFF70000"/>
  </w:font>
  <w:font w:name="Microsoft JhengHei">
    <w:panose1 w:val="020B0604030504040204"/>
    <w:charset w:val="88"/>
    <w:family w:val="swiss"/>
    <w:pitch w:val="default"/>
    <w:sig w:usb0="00000087" w:usb1="28AF4000" w:usb2="00000016" w:usb3="00000000" w:csb0="00100009"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1</w:t>
    </w:r>
    <w:r>
      <w:rPr>
        <w:rFonts w:ascii="Times New Roman" w:hAnsi="Times New Roman"/>
      </w:rPr>
      <w:fldChar w:fldCharType="end"/>
    </w:r>
  </w:p>
  <w:p>
    <w:pPr>
      <w:pStyle w:val="13"/>
      <w:wordWrap w:val="0"/>
      <w:ind w:right="720"/>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560" w:firstLineChars="200"/>
      <w:rPr>
        <w:rFonts w:ascii="宋体" w:hAnsi="宋体"/>
        <w:sz w:val="28"/>
        <w:szCs w:val="28"/>
      </w:rPr>
    </w:pPr>
    <w:r>
      <w:rPr>
        <w:rStyle w:val="21"/>
        <w:rFonts w:hint="eastAsia" w:ascii="宋体" w:hAnsi="宋体" w:cs="宋体"/>
        <w:kern w:val="0"/>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hint="eastAsia" w:ascii="宋体" w:hAnsi="宋体"/>
        <w:sz w:val="28"/>
        <w:szCs w:val="28"/>
      </w:rPr>
      <w:t xml:space="preserve"> </w:t>
    </w:r>
    <w:r>
      <w:rPr>
        <w:rStyle w:val="21"/>
        <w:rFonts w:hint="eastAsia" w:ascii="宋体" w:hAnsi="宋体" w:cs="宋体"/>
        <w:kern w:val="0"/>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fldChar w:fldCharType="begin"/>
    </w:r>
    <w:r>
      <w:instrText xml:space="preserve">PAGE   \* MERGEFORMAT</w:instrText>
    </w:r>
    <w:r>
      <w:fldChar w:fldCharType="separate"/>
    </w:r>
    <w:r>
      <w:rPr>
        <w:lang w:val="zh-CN"/>
      </w:rPr>
      <w:t>75</w:t>
    </w:r>
    <w: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EAD30B"/>
    <w:multiLevelType w:val="singleLevel"/>
    <w:tmpl w:val="F4EAD30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AxMzc1ODY1M2QzMWZlYzlhZTEyOGJjMWEzYTU3MDQifQ=="/>
    <w:docVar w:name="KGWebUrl" w:val="http://10.231.53.46:80/seeyon/officeservlet"/>
  </w:docVars>
  <w:rsids>
    <w:rsidRoot w:val="669E04D0"/>
    <w:rsid w:val="000023BA"/>
    <w:rsid w:val="00005A5C"/>
    <w:rsid w:val="00007866"/>
    <w:rsid w:val="0001280A"/>
    <w:rsid w:val="00015BA4"/>
    <w:rsid w:val="00016DEA"/>
    <w:rsid w:val="00017F0D"/>
    <w:rsid w:val="0002113D"/>
    <w:rsid w:val="00022636"/>
    <w:rsid w:val="000236BF"/>
    <w:rsid w:val="00025A52"/>
    <w:rsid w:val="00026D2D"/>
    <w:rsid w:val="00026D9B"/>
    <w:rsid w:val="00032F64"/>
    <w:rsid w:val="00033D05"/>
    <w:rsid w:val="00035199"/>
    <w:rsid w:val="00041D48"/>
    <w:rsid w:val="000428BE"/>
    <w:rsid w:val="00044786"/>
    <w:rsid w:val="00044A91"/>
    <w:rsid w:val="00045B92"/>
    <w:rsid w:val="00045EBC"/>
    <w:rsid w:val="00045EF0"/>
    <w:rsid w:val="00050D31"/>
    <w:rsid w:val="0005153B"/>
    <w:rsid w:val="00051D0F"/>
    <w:rsid w:val="00052F86"/>
    <w:rsid w:val="00054C67"/>
    <w:rsid w:val="00054E24"/>
    <w:rsid w:val="0006083C"/>
    <w:rsid w:val="00062466"/>
    <w:rsid w:val="000637D7"/>
    <w:rsid w:val="00065EEB"/>
    <w:rsid w:val="000664BD"/>
    <w:rsid w:val="00084E0B"/>
    <w:rsid w:val="000877FD"/>
    <w:rsid w:val="00087EFE"/>
    <w:rsid w:val="0009068A"/>
    <w:rsid w:val="00090CA9"/>
    <w:rsid w:val="00094BF8"/>
    <w:rsid w:val="000A04B6"/>
    <w:rsid w:val="000A11B1"/>
    <w:rsid w:val="000A52DA"/>
    <w:rsid w:val="000A5950"/>
    <w:rsid w:val="000A5A08"/>
    <w:rsid w:val="000C0094"/>
    <w:rsid w:val="000C17C5"/>
    <w:rsid w:val="000D0760"/>
    <w:rsid w:val="000D1BDF"/>
    <w:rsid w:val="000D1F06"/>
    <w:rsid w:val="000D73C6"/>
    <w:rsid w:val="000D7EAB"/>
    <w:rsid w:val="000E060D"/>
    <w:rsid w:val="000E299D"/>
    <w:rsid w:val="000E7A40"/>
    <w:rsid w:val="000E7C58"/>
    <w:rsid w:val="000F18E7"/>
    <w:rsid w:val="000F308E"/>
    <w:rsid w:val="000F54E0"/>
    <w:rsid w:val="00101F13"/>
    <w:rsid w:val="00102832"/>
    <w:rsid w:val="00102D1B"/>
    <w:rsid w:val="00104C60"/>
    <w:rsid w:val="0010675C"/>
    <w:rsid w:val="00107DA3"/>
    <w:rsid w:val="00107EC5"/>
    <w:rsid w:val="00113FC4"/>
    <w:rsid w:val="001249BC"/>
    <w:rsid w:val="00124CA3"/>
    <w:rsid w:val="00132255"/>
    <w:rsid w:val="00132B15"/>
    <w:rsid w:val="001332C5"/>
    <w:rsid w:val="0013378D"/>
    <w:rsid w:val="00136C01"/>
    <w:rsid w:val="00140233"/>
    <w:rsid w:val="00140BC4"/>
    <w:rsid w:val="001413B3"/>
    <w:rsid w:val="00141D2A"/>
    <w:rsid w:val="00143E7C"/>
    <w:rsid w:val="001478AB"/>
    <w:rsid w:val="00155F59"/>
    <w:rsid w:val="00156E29"/>
    <w:rsid w:val="00167230"/>
    <w:rsid w:val="00167998"/>
    <w:rsid w:val="001705D0"/>
    <w:rsid w:val="0017075F"/>
    <w:rsid w:val="001736F1"/>
    <w:rsid w:val="001765D3"/>
    <w:rsid w:val="001812AA"/>
    <w:rsid w:val="00186F74"/>
    <w:rsid w:val="00187C7F"/>
    <w:rsid w:val="00191598"/>
    <w:rsid w:val="001A3457"/>
    <w:rsid w:val="001B2430"/>
    <w:rsid w:val="001B4BFD"/>
    <w:rsid w:val="001B6DC0"/>
    <w:rsid w:val="001C0E9F"/>
    <w:rsid w:val="001C51B5"/>
    <w:rsid w:val="001C66E6"/>
    <w:rsid w:val="001D0859"/>
    <w:rsid w:val="001D0DAB"/>
    <w:rsid w:val="001D205C"/>
    <w:rsid w:val="001D31F2"/>
    <w:rsid w:val="001D3714"/>
    <w:rsid w:val="001D3898"/>
    <w:rsid w:val="001D57B6"/>
    <w:rsid w:val="001E015D"/>
    <w:rsid w:val="001E0CD8"/>
    <w:rsid w:val="001E2C01"/>
    <w:rsid w:val="001E66FD"/>
    <w:rsid w:val="001E6AA4"/>
    <w:rsid w:val="001F0A64"/>
    <w:rsid w:val="001F0D21"/>
    <w:rsid w:val="001F3354"/>
    <w:rsid w:val="001F3BCB"/>
    <w:rsid w:val="001F5A4A"/>
    <w:rsid w:val="001F75D5"/>
    <w:rsid w:val="002051B8"/>
    <w:rsid w:val="002068D6"/>
    <w:rsid w:val="00206A77"/>
    <w:rsid w:val="00210DCA"/>
    <w:rsid w:val="00220E85"/>
    <w:rsid w:val="00220EBE"/>
    <w:rsid w:val="00222D18"/>
    <w:rsid w:val="002237D0"/>
    <w:rsid w:val="00224F39"/>
    <w:rsid w:val="002329D5"/>
    <w:rsid w:val="00233A9D"/>
    <w:rsid w:val="00240C2D"/>
    <w:rsid w:val="00240C2E"/>
    <w:rsid w:val="002410D0"/>
    <w:rsid w:val="002433BB"/>
    <w:rsid w:val="002463B1"/>
    <w:rsid w:val="00246AF0"/>
    <w:rsid w:val="00246F7B"/>
    <w:rsid w:val="00250113"/>
    <w:rsid w:val="0025111B"/>
    <w:rsid w:val="00253EDF"/>
    <w:rsid w:val="00254008"/>
    <w:rsid w:val="0025724B"/>
    <w:rsid w:val="002614A9"/>
    <w:rsid w:val="0026330E"/>
    <w:rsid w:val="00270451"/>
    <w:rsid w:val="00272CAE"/>
    <w:rsid w:val="00273C0D"/>
    <w:rsid w:val="00274050"/>
    <w:rsid w:val="00281064"/>
    <w:rsid w:val="00281FE0"/>
    <w:rsid w:val="002822FE"/>
    <w:rsid w:val="00284194"/>
    <w:rsid w:val="00286A1B"/>
    <w:rsid w:val="00287E9D"/>
    <w:rsid w:val="00293020"/>
    <w:rsid w:val="002936B5"/>
    <w:rsid w:val="00294683"/>
    <w:rsid w:val="00297F7E"/>
    <w:rsid w:val="002A1599"/>
    <w:rsid w:val="002A25B8"/>
    <w:rsid w:val="002A5469"/>
    <w:rsid w:val="002A69E2"/>
    <w:rsid w:val="002A7E1A"/>
    <w:rsid w:val="002B1A59"/>
    <w:rsid w:val="002B256F"/>
    <w:rsid w:val="002B39DE"/>
    <w:rsid w:val="002B3E22"/>
    <w:rsid w:val="002B6C64"/>
    <w:rsid w:val="002B738B"/>
    <w:rsid w:val="002C13E0"/>
    <w:rsid w:val="002C36BE"/>
    <w:rsid w:val="002C5706"/>
    <w:rsid w:val="002C60C8"/>
    <w:rsid w:val="002C73B9"/>
    <w:rsid w:val="002C7755"/>
    <w:rsid w:val="002C7E9B"/>
    <w:rsid w:val="002D0619"/>
    <w:rsid w:val="002D1067"/>
    <w:rsid w:val="002D2282"/>
    <w:rsid w:val="002D229E"/>
    <w:rsid w:val="002D26F1"/>
    <w:rsid w:val="002D2E7E"/>
    <w:rsid w:val="002D353A"/>
    <w:rsid w:val="002D392A"/>
    <w:rsid w:val="002D469E"/>
    <w:rsid w:val="002D480E"/>
    <w:rsid w:val="002D6E7A"/>
    <w:rsid w:val="002D71EF"/>
    <w:rsid w:val="002E13B7"/>
    <w:rsid w:val="002E34F1"/>
    <w:rsid w:val="002E6077"/>
    <w:rsid w:val="002F400D"/>
    <w:rsid w:val="00301995"/>
    <w:rsid w:val="003055E4"/>
    <w:rsid w:val="0030688E"/>
    <w:rsid w:val="00306CCA"/>
    <w:rsid w:val="003074D0"/>
    <w:rsid w:val="003103E7"/>
    <w:rsid w:val="00310956"/>
    <w:rsid w:val="00310ABE"/>
    <w:rsid w:val="0031139E"/>
    <w:rsid w:val="0031144E"/>
    <w:rsid w:val="00312564"/>
    <w:rsid w:val="00315E35"/>
    <w:rsid w:val="00321838"/>
    <w:rsid w:val="00321A23"/>
    <w:rsid w:val="00326990"/>
    <w:rsid w:val="00327435"/>
    <w:rsid w:val="00327CE9"/>
    <w:rsid w:val="00330D3C"/>
    <w:rsid w:val="00331824"/>
    <w:rsid w:val="00332121"/>
    <w:rsid w:val="00332A6F"/>
    <w:rsid w:val="0033493A"/>
    <w:rsid w:val="00337D4B"/>
    <w:rsid w:val="00341758"/>
    <w:rsid w:val="00343920"/>
    <w:rsid w:val="00346273"/>
    <w:rsid w:val="00350A06"/>
    <w:rsid w:val="003531EE"/>
    <w:rsid w:val="003536D8"/>
    <w:rsid w:val="0035764A"/>
    <w:rsid w:val="0036235D"/>
    <w:rsid w:val="003641FD"/>
    <w:rsid w:val="0036746A"/>
    <w:rsid w:val="003729D7"/>
    <w:rsid w:val="0037339D"/>
    <w:rsid w:val="00385BB7"/>
    <w:rsid w:val="00386D9A"/>
    <w:rsid w:val="00393529"/>
    <w:rsid w:val="003A42E5"/>
    <w:rsid w:val="003B0120"/>
    <w:rsid w:val="003B1538"/>
    <w:rsid w:val="003B2A89"/>
    <w:rsid w:val="003C17FB"/>
    <w:rsid w:val="003C1927"/>
    <w:rsid w:val="003C2333"/>
    <w:rsid w:val="003C3B77"/>
    <w:rsid w:val="003C5574"/>
    <w:rsid w:val="003D143A"/>
    <w:rsid w:val="003D1D0E"/>
    <w:rsid w:val="003D530F"/>
    <w:rsid w:val="003E2ADF"/>
    <w:rsid w:val="003E2CD5"/>
    <w:rsid w:val="003E7EE4"/>
    <w:rsid w:val="003F34F8"/>
    <w:rsid w:val="003F4A66"/>
    <w:rsid w:val="003F4E0D"/>
    <w:rsid w:val="003F55AC"/>
    <w:rsid w:val="003F69C0"/>
    <w:rsid w:val="003F7DA4"/>
    <w:rsid w:val="00402896"/>
    <w:rsid w:val="00405B74"/>
    <w:rsid w:val="004078AC"/>
    <w:rsid w:val="004123C9"/>
    <w:rsid w:val="00413BFE"/>
    <w:rsid w:val="0041473E"/>
    <w:rsid w:val="00415557"/>
    <w:rsid w:val="0042200E"/>
    <w:rsid w:val="00423C58"/>
    <w:rsid w:val="00425C59"/>
    <w:rsid w:val="004266BE"/>
    <w:rsid w:val="00426C00"/>
    <w:rsid w:val="00426C26"/>
    <w:rsid w:val="004275EF"/>
    <w:rsid w:val="004277A4"/>
    <w:rsid w:val="00431C3A"/>
    <w:rsid w:val="004333B7"/>
    <w:rsid w:val="00441D79"/>
    <w:rsid w:val="00444A52"/>
    <w:rsid w:val="00444C18"/>
    <w:rsid w:val="0044524B"/>
    <w:rsid w:val="00445CD8"/>
    <w:rsid w:val="004473B1"/>
    <w:rsid w:val="004557A7"/>
    <w:rsid w:val="00462251"/>
    <w:rsid w:val="004663BC"/>
    <w:rsid w:val="00471182"/>
    <w:rsid w:val="00471EA6"/>
    <w:rsid w:val="00474D3D"/>
    <w:rsid w:val="00475BE1"/>
    <w:rsid w:val="00482EC1"/>
    <w:rsid w:val="0048516E"/>
    <w:rsid w:val="0048750B"/>
    <w:rsid w:val="004903A9"/>
    <w:rsid w:val="004950E5"/>
    <w:rsid w:val="00495DB4"/>
    <w:rsid w:val="00496707"/>
    <w:rsid w:val="00496DE1"/>
    <w:rsid w:val="004A0EBF"/>
    <w:rsid w:val="004A320C"/>
    <w:rsid w:val="004A3233"/>
    <w:rsid w:val="004A5618"/>
    <w:rsid w:val="004A69ED"/>
    <w:rsid w:val="004B1A3D"/>
    <w:rsid w:val="004B1EF5"/>
    <w:rsid w:val="004B483D"/>
    <w:rsid w:val="004B5A08"/>
    <w:rsid w:val="004B5B89"/>
    <w:rsid w:val="004C4E43"/>
    <w:rsid w:val="004C6B42"/>
    <w:rsid w:val="004D2478"/>
    <w:rsid w:val="004D3038"/>
    <w:rsid w:val="004D4CE8"/>
    <w:rsid w:val="004D6C6F"/>
    <w:rsid w:val="004D72CA"/>
    <w:rsid w:val="004E0882"/>
    <w:rsid w:val="004E0DA2"/>
    <w:rsid w:val="004E4532"/>
    <w:rsid w:val="004E52CE"/>
    <w:rsid w:val="004E7C1F"/>
    <w:rsid w:val="004F1D9E"/>
    <w:rsid w:val="004F3DA4"/>
    <w:rsid w:val="00501408"/>
    <w:rsid w:val="00503455"/>
    <w:rsid w:val="00504CEF"/>
    <w:rsid w:val="005058CE"/>
    <w:rsid w:val="00506382"/>
    <w:rsid w:val="005075F8"/>
    <w:rsid w:val="005079A0"/>
    <w:rsid w:val="00515B8B"/>
    <w:rsid w:val="00520C65"/>
    <w:rsid w:val="005219B3"/>
    <w:rsid w:val="00525030"/>
    <w:rsid w:val="0052763C"/>
    <w:rsid w:val="00527C6A"/>
    <w:rsid w:val="00527DB0"/>
    <w:rsid w:val="00533DB0"/>
    <w:rsid w:val="00534082"/>
    <w:rsid w:val="0054124A"/>
    <w:rsid w:val="00546222"/>
    <w:rsid w:val="00546321"/>
    <w:rsid w:val="00547718"/>
    <w:rsid w:val="00550644"/>
    <w:rsid w:val="00555C78"/>
    <w:rsid w:val="00557BD7"/>
    <w:rsid w:val="00557F20"/>
    <w:rsid w:val="00562E2E"/>
    <w:rsid w:val="00563AF8"/>
    <w:rsid w:val="00564A03"/>
    <w:rsid w:val="0056504F"/>
    <w:rsid w:val="005654C1"/>
    <w:rsid w:val="00565B36"/>
    <w:rsid w:val="00566525"/>
    <w:rsid w:val="005671DA"/>
    <w:rsid w:val="00574F2D"/>
    <w:rsid w:val="005762AA"/>
    <w:rsid w:val="005779E6"/>
    <w:rsid w:val="00577C98"/>
    <w:rsid w:val="00580E25"/>
    <w:rsid w:val="00580FDF"/>
    <w:rsid w:val="00581633"/>
    <w:rsid w:val="00581C9D"/>
    <w:rsid w:val="00584909"/>
    <w:rsid w:val="005856E0"/>
    <w:rsid w:val="00585C8F"/>
    <w:rsid w:val="00590E62"/>
    <w:rsid w:val="00591D8B"/>
    <w:rsid w:val="00591FDA"/>
    <w:rsid w:val="005923A4"/>
    <w:rsid w:val="005958A0"/>
    <w:rsid w:val="005A3500"/>
    <w:rsid w:val="005A39ED"/>
    <w:rsid w:val="005A6B28"/>
    <w:rsid w:val="005B0A6F"/>
    <w:rsid w:val="005B1739"/>
    <w:rsid w:val="005B1BAE"/>
    <w:rsid w:val="005C1062"/>
    <w:rsid w:val="005C118D"/>
    <w:rsid w:val="005C5EA8"/>
    <w:rsid w:val="005C6852"/>
    <w:rsid w:val="005C7F8E"/>
    <w:rsid w:val="005D2C0F"/>
    <w:rsid w:val="005D519D"/>
    <w:rsid w:val="005E01C0"/>
    <w:rsid w:val="005E3894"/>
    <w:rsid w:val="005E3D72"/>
    <w:rsid w:val="005F15A9"/>
    <w:rsid w:val="005F216A"/>
    <w:rsid w:val="005F445B"/>
    <w:rsid w:val="005F54AF"/>
    <w:rsid w:val="005F737D"/>
    <w:rsid w:val="00602BA3"/>
    <w:rsid w:val="006045A9"/>
    <w:rsid w:val="00610A84"/>
    <w:rsid w:val="006117DF"/>
    <w:rsid w:val="006124E6"/>
    <w:rsid w:val="00613B93"/>
    <w:rsid w:val="00614CFF"/>
    <w:rsid w:val="006200AC"/>
    <w:rsid w:val="00621478"/>
    <w:rsid w:val="006227BA"/>
    <w:rsid w:val="00623502"/>
    <w:rsid w:val="00624424"/>
    <w:rsid w:val="00625A65"/>
    <w:rsid w:val="00636E99"/>
    <w:rsid w:val="00640C0C"/>
    <w:rsid w:val="00643349"/>
    <w:rsid w:val="00644187"/>
    <w:rsid w:val="00647A56"/>
    <w:rsid w:val="00647E81"/>
    <w:rsid w:val="006513B6"/>
    <w:rsid w:val="00652C05"/>
    <w:rsid w:val="00654E2F"/>
    <w:rsid w:val="00657F44"/>
    <w:rsid w:val="006620F7"/>
    <w:rsid w:val="00662579"/>
    <w:rsid w:val="00662E8C"/>
    <w:rsid w:val="00663B56"/>
    <w:rsid w:val="00664681"/>
    <w:rsid w:val="00664804"/>
    <w:rsid w:val="0066726F"/>
    <w:rsid w:val="006677CD"/>
    <w:rsid w:val="00672663"/>
    <w:rsid w:val="00672F9B"/>
    <w:rsid w:val="00674444"/>
    <w:rsid w:val="006778F1"/>
    <w:rsid w:val="0068471C"/>
    <w:rsid w:val="00684FD9"/>
    <w:rsid w:val="00691BC6"/>
    <w:rsid w:val="00695B7A"/>
    <w:rsid w:val="006A1920"/>
    <w:rsid w:val="006A1FA7"/>
    <w:rsid w:val="006A5832"/>
    <w:rsid w:val="006A5E57"/>
    <w:rsid w:val="006A73AB"/>
    <w:rsid w:val="006B08F3"/>
    <w:rsid w:val="006B2693"/>
    <w:rsid w:val="006B2FD4"/>
    <w:rsid w:val="006B3152"/>
    <w:rsid w:val="006B4113"/>
    <w:rsid w:val="006B7820"/>
    <w:rsid w:val="006C318E"/>
    <w:rsid w:val="006C3D0A"/>
    <w:rsid w:val="006C683D"/>
    <w:rsid w:val="006D00F2"/>
    <w:rsid w:val="006D15F7"/>
    <w:rsid w:val="006D23CB"/>
    <w:rsid w:val="006D3269"/>
    <w:rsid w:val="006D42BC"/>
    <w:rsid w:val="006D51D1"/>
    <w:rsid w:val="006D7100"/>
    <w:rsid w:val="006E0ACD"/>
    <w:rsid w:val="006E6546"/>
    <w:rsid w:val="006F14B0"/>
    <w:rsid w:val="006F1C55"/>
    <w:rsid w:val="006F1F69"/>
    <w:rsid w:val="006F244B"/>
    <w:rsid w:val="006F26D5"/>
    <w:rsid w:val="006F65E9"/>
    <w:rsid w:val="006F6B3D"/>
    <w:rsid w:val="006F7F31"/>
    <w:rsid w:val="00705233"/>
    <w:rsid w:val="007052AC"/>
    <w:rsid w:val="00706801"/>
    <w:rsid w:val="00710F24"/>
    <w:rsid w:val="00714696"/>
    <w:rsid w:val="00716B66"/>
    <w:rsid w:val="00717EEF"/>
    <w:rsid w:val="00723F7D"/>
    <w:rsid w:val="007244FB"/>
    <w:rsid w:val="00725D55"/>
    <w:rsid w:val="00726413"/>
    <w:rsid w:val="00731B80"/>
    <w:rsid w:val="007346F9"/>
    <w:rsid w:val="00735A00"/>
    <w:rsid w:val="007375C1"/>
    <w:rsid w:val="00737D52"/>
    <w:rsid w:val="007415A5"/>
    <w:rsid w:val="00742F60"/>
    <w:rsid w:val="00744ACD"/>
    <w:rsid w:val="0074520B"/>
    <w:rsid w:val="007469BE"/>
    <w:rsid w:val="00750F00"/>
    <w:rsid w:val="00751131"/>
    <w:rsid w:val="00755588"/>
    <w:rsid w:val="007559BB"/>
    <w:rsid w:val="00755BF1"/>
    <w:rsid w:val="00761475"/>
    <w:rsid w:val="00762C9D"/>
    <w:rsid w:val="0076452C"/>
    <w:rsid w:val="00764948"/>
    <w:rsid w:val="00766553"/>
    <w:rsid w:val="007671BB"/>
    <w:rsid w:val="00770A0A"/>
    <w:rsid w:val="00771AFE"/>
    <w:rsid w:val="007807D8"/>
    <w:rsid w:val="0078390C"/>
    <w:rsid w:val="00786EE8"/>
    <w:rsid w:val="007871C5"/>
    <w:rsid w:val="0079418C"/>
    <w:rsid w:val="007976F8"/>
    <w:rsid w:val="00797796"/>
    <w:rsid w:val="00797840"/>
    <w:rsid w:val="007A1957"/>
    <w:rsid w:val="007A3F1B"/>
    <w:rsid w:val="007A5794"/>
    <w:rsid w:val="007B2F11"/>
    <w:rsid w:val="007B3112"/>
    <w:rsid w:val="007B482E"/>
    <w:rsid w:val="007B6F1C"/>
    <w:rsid w:val="007B705D"/>
    <w:rsid w:val="007C2789"/>
    <w:rsid w:val="007C473C"/>
    <w:rsid w:val="007C52B0"/>
    <w:rsid w:val="007C5635"/>
    <w:rsid w:val="007C6E0A"/>
    <w:rsid w:val="007C7F7C"/>
    <w:rsid w:val="007D479C"/>
    <w:rsid w:val="007D6A39"/>
    <w:rsid w:val="007E0723"/>
    <w:rsid w:val="007E0E8D"/>
    <w:rsid w:val="007E16B8"/>
    <w:rsid w:val="007E21EA"/>
    <w:rsid w:val="007E2A44"/>
    <w:rsid w:val="007E2E48"/>
    <w:rsid w:val="007E34BA"/>
    <w:rsid w:val="007E4A2F"/>
    <w:rsid w:val="007E6004"/>
    <w:rsid w:val="007E6F77"/>
    <w:rsid w:val="007E7EAD"/>
    <w:rsid w:val="007F02F2"/>
    <w:rsid w:val="007F17A1"/>
    <w:rsid w:val="007F2B13"/>
    <w:rsid w:val="007F3A86"/>
    <w:rsid w:val="007F4DF2"/>
    <w:rsid w:val="007F6D6A"/>
    <w:rsid w:val="007F6F9D"/>
    <w:rsid w:val="007F728F"/>
    <w:rsid w:val="008010D8"/>
    <w:rsid w:val="00801D2B"/>
    <w:rsid w:val="008027F8"/>
    <w:rsid w:val="00802C19"/>
    <w:rsid w:val="00804262"/>
    <w:rsid w:val="008112A2"/>
    <w:rsid w:val="00811755"/>
    <w:rsid w:val="00811CE7"/>
    <w:rsid w:val="008130B7"/>
    <w:rsid w:val="00813FC0"/>
    <w:rsid w:val="0081629E"/>
    <w:rsid w:val="0082098F"/>
    <w:rsid w:val="008257B5"/>
    <w:rsid w:val="00825F36"/>
    <w:rsid w:val="00830E31"/>
    <w:rsid w:val="00831742"/>
    <w:rsid w:val="00832649"/>
    <w:rsid w:val="008332D1"/>
    <w:rsid w:val="00835716"/>
    <w:rsid w:val="008365CD"/>
    <w:rsid w:val="00837381"/>
    <w:rsid w:val="00844BDF"/>
    <w:rsid w:val="008453AD"/>
    <w:rsid w:val="00846F7D"/>
    <w:rsid w:val="0084729C"/>
    <w:rsid w:val="00851163"/>
    <w:rsid w:val="00852343"/>
    <w:rsid w:val="00852737"/>
    <w:rsid w:val="00852B6B"/>
    <w:rsid w:val="00853014"/>
    <w:rsid w:val="00856A94"/>
    <w:rsid w:val="008571DE"/>
    <w:rsid w:val="00860103"/>
    <w:rsid w:val="00863566"/>
    <w:rsid w:val="0087356D"/>
    <w:rsid w:val="00873E98"/>
    <w:rsid w:val="00875E5C"/>
    <w:rsid w:val="008800B8"/>
    <w:rsid w:val="008805FF"/>
    <w:rsid w:val="0088088D"/>
    <w:rsid w:val="00882DBC"/>
    <w:rsid w:val="0088797C"/>
    <w:rsid w:val="00891793"/>
    <w:rsid w:val="008918B2"/>
    <w:rsid w:val="00895B12"/>
    <w:rsid w:val="008A3E1F"/>
    <w:rsid w:val="008A4903"/>
    <w:rsid w:val="008A7ABC"/>
    <w:rsid w:val="008A7B9C"/>
    <w:rsid w:val="008B1C49"/>
    <w:rsid w:val="008B1D2E"/>
    <w:rsid w:val="008B39E7"/>
    <w:rsid w:val="008B5E56"/>
    <w:rsid w:val="008C1F09"/>
    <w:rsid w:val="008C2244"/>
    <w:rsid w:val="008C250F"/>
    <w:rsid w:val="008C309E"/>
    <w:rsid w:val="008D02BF"/>
    <w:rsid w:val="008D0791"/>
    <w:rsid w:val="008D10C6"/>
    <w:rsid w:val="008E349E"/>
    <w:rsid w:val="008E3AC6"/>
    <w:rsid w:val="008E5B17"/>
    <w:rsid w:val="008E67BC"/>
    <w:rsid w:val="008F41AB"/>
    <w:rsid w:val="008F4C6F"/>
    <w:rsid w:val="00900434"/>
    <w:rsid w:val="00901D2A"/>
    <w:rsid w:val="009025A5"/>
    <w:rsid w:val="00902F28"/>
    <w:rsid w:val="00903568"/>
    <w:rsid w:val="00903A77"/>
    <w:rsid w:val="009079CF"/>
    <w:rsid w:val="00913705"/>
    <w:rsid w:val="009149E3"/>
    <w:rsid w:val="00914DEE"/>
    <w:rsid w:val="00921D99"/>
    <w:rsid w:val="00925A34"/>
    <w:rsid w:val="00927149"/>
    <w:rsid w:val="00930173"/>
    <w:rsid w:val="0093019E"/>
    <w:rsid w:val="00935D0E"/>
    <w:rsid w:val="00937FBC"/>
    <w:rsid w:val="009400C0"/>
    <w:rsid w:val="009419AE"/>
    <w:rsid w:val="009423DD"/>
    <w:rsid w:val="0094499F"/>
    <w:rsid w:val="00944CCD"/>
    <w:rsid w:val="00946DA7"/>
    <w:rsid w:val="009478D4"/>
    <w:rsid w:val="009502B8"/>
    <w:rsid w:val="00950466"/>
    <w:rsid w:val="00950BE0"/>
    <w:rsid w:val="00953374"/>
    <w:rsid w:val="00955CFF"/>
    <w:rsid w:val="009574F7"/>
    <w:rsid w:val="009602C3"/>
    <w:rsid w:val="00961C18"/>
    <w:rsid w:val="009638FF"/>
    <w:rsid w:val="00964863"/>
    <w:rsid w:val="00965307"/>
    <w:rsid w:val="00966CBE"/>
    <w:rsid w:val="0096747D"/>
    <w:rsid w:val="00967A90"/>
    <w:rsid w:val="009703F5"/>
    <w:rsid w:val="009721DC"/>
    <w:rsid w:val="00972AE3"/>
    <w:rsid w:val="009734E1"/>
    <w:rsid w:val="0097680D"/>
    <w:rsid w:val="00977085"/>
    <w:rsid w:val="00977258"/>
    <w:rsid w:val="00982091"/>
    <w:rsid w:val="0098798F"/>
    <w:rsid w:val="00991C5B"/>
    <w:rsid w:val="00991E70"/>
    <w:rsid w:val="0099294F"/>
    <w:rsid w:val="00992E44"/>
    <w:rsid w:val="00995A4D"/>
    <w:rsid w:val="00997203"/>
    <w:rsid w:val="009A48D0"/>
    <w:rsid w:val="009A57BD"/>
    <w:rsid w:val="009B045C"/>
    <w:rsid w:val="009B0B71"/>
    <w:rsid w:val="009B0F9C"/>
    <w:rsid w:val="009B28FE"/>
    <w:rsid w:val="009B53FA"/>
    <w:rsid w:val="009B644F"/>
    <w:rsid w:val="009B6F4C"/>
    <w:rsid w:val="009C0D2D"/>
    <w:rsid w:val="009C191C"/>
    <w:rsid w:val="009C61C7"/>
    <w:rsid w:val="009C6B00"/>
    <w:rsid w:val="009C7BE4"/>
    <w:rsid w:val="009D069E"/>
    <w:rsid w:val="009D0BF6"/>
    <w:rsid w:val="009D16AB"/>
    <w:rsid w:val="009D523D"/>
    <w:rsid w:val="009D5354"/>
    <w:rsid w:val="009D5E2F"/>
    <w:rsid w:val="009D6682"/>
    <w:rsid w:val="009D6928"/>
    <w:rsid w:val="009D7A26"/>
    <w:rsid w:val="009E3BD7"/>
    <w:rsid w:val="009E57E0"/>
    <w:rsid w:val="009E5D38"/>
    <w:rsid w:val="009F1A70"/>
    <w:rsid w:val="009F1DEA"/>
    <w:rsid w:val="009F7934"/>
    <w:rsid w:val="00A03AA4"/>
    <w:rsid w:val="00A06672"/>
    <w:rsid w:val="00A0714E"/>
    <w:rsid w:val="00A128BF"/>
    <w:rsid w:val="00A151D9"/>
    <w:rsid w:val="00A1665B"/>
    <w:rsid w:val="00A21912"/>
    <w:rsid w:val="00A22E4B"/>
    <w:rsid w:val="00A23F43"/>
    <w:rsid w:val="00A24E4E"/>
    <w:rsid w:val="00A26C92"/>
    <w:rsid w:val="00A27F8E"/>
    <w:rsid w:val="00A3010C"/>
    <w:rsid w:val="00A3249E"/>
    <w:rsid w:val="00A32711"/>
    <w:rsid w:val="00A32737"/>
    <w:rsid w:val="00A33314"/>
    <w:rsid w:val="00A378C7"/>
    <w:rsid w:val="00A401B5"/>
    <w:rsid w:val="00A422B9"/>
    <w:rsid w:val="00A43BDD"/>
    <w:rsid w:val="00A44885"/>
    <w:rsid w:val="00A538B9"/>
    <w:rsid w:val="00A60F25"/>
    <w:rsid w:val="00A623C4"/>
    <w:rsid w:val="00A6522D"/>
    <w:rsid w:val="00A66D36"/>
    <w:rsid w:val="00A73AB3"/>
    <w:rsid w:val="00A7574B"/>
    <w:rsid w:val="00A76734"/>
    <w:rsid w:val="00A812CC"/>
    <w:rsid w:val="00A81994"/>
    <w:rsid w:val="00A83325"/>
    <w:rsid w:val="00A86ECF"/>
    <w:rsid w:val="00A96FEF"/>
    <w:rsid w:val="00AA398D"/>
    <w:rsid w:val="00AA3C6F"/>
    <w:rsid w:val="00AA3F34"/>
    <w:rsid w:val="00AA410A"/>
    <w:rsid w:val="00AA54CE"/>
    <w:rsid w:val="00AA7350"/>
    <w:rsid w:val="00AB5AA4"/>
    <w:rsid w:val="00AC07E0"/>
    <w:rsid w:val="00AC2C8F"/>
    <w:rsid w:val="00AC5FCD"/>
    <w:rsid w:val="00AC6C9F"/>
    <w:rsid w:val="00AD09D1"/>
    <w:rsid w:val="00AD2F51"/>
    <w:rsid w:val="00AD4A65"/>
    <w:rsid w:val="00AE0449"/>
    <w:rsid w:val="00AE09A9"/>
    <w:rsid w:val="00AE2237"/>
    <w:rsid w:val="00AE2B75"/>
    <w:rsid w:val="00AE5545"/>
    <w:rsid w:val="00AE6930"/>
    <w:rsid w:val="00AE7261"/>
    <w:rsid w:val="00AF054E"/>
    <w:rsid w:val="00AF6CDB"/>
    <w:rsid w:val="00B001D5"/>
    <w:rsid w:val="00B00AAF"/>
    <w:rsid w:val="00B00F12"/>
    <w:rsid w:val="00B05718"/>
    <w:rsid w:val="00B07DD4"/>
    <w:rsid w:val="00B115DE"/>
    <w:rsid w:val="00B1268B"/>
    <w:rsid w:val="00B14157"/>
    <w:rsid w:val="00B23737"/>
    <w:rsid w:val="00B23BB2"/>
    <w:rsid w:val="00B246DE"/>
    <w:rsid w:val="00B2668F"/>
    <w:rsid w:val="00B27E81"/>
    <w:rsid w:val="00B327D0"/>
    <w:rsid w:val="00B35133"/>
    <w:rsid w:val="00B44CC6"/>
    <w:rsid w:val="00B45DF2"/>
    <w:rsid w:val="00B5181F"/>
    <w:rsid w:val="00B518FA"/>
    <w:rsid w:val="00B532CB"/>
    <w:rsid w:val="00B53CE4"/>
    <w:rsid w:val="00B555BB"/>
    <w:rsid w:val="00B6118C"/>
    <w:rsid w:val="00B61605"/>
    <w:rsid w:val="00B648E0"/>
    <w:rsid w:val="00B72E18"/>
    <w:rsid w:val="00B76184"/>
    <w:rsid w:val="00B80347"/>
    <w:rsid w:val="00B82E17"/>
    <w:rsid w:val="00B86FF3"/>
    <w:rsid w:val="00B90B74"/>
    <w:rsid w:val="00B948A7"/>
    <w:rsid w:val="00B9566E"/>
    <w:rsid w:val="00B976A1"/>
    <w:rsid w:val="00BA0F15"/>
    <w:rsid w:val="00BA5143"/>
    <w:rsid w:val="00BA6070"/>
    <w:rsid w:val="00BA6D66"/>
    <w:rsid w:val="00BA7838"/>
    <w:rsid w:val="00BB52C4"/>
    <w:rsid w:val="00BB568D"/>
    <w:rsid w:val="00BB6CA4"/>
    <w:rsid w:val="00BC154E"/>
    <w:rsid w:val="00BC25B2"/>
    <w:rsid w:val="00BC3CD8"/>
    <w:rsid w:val="00BC4052"/>
    <w:rsid w:val="00BC473A"/>
    <w:rsid w:val="00BC66E6"/>
    <w:rsid w:val="00BD05CD"/>
    <w:rsid w:val="00BD1B8F"/>
    <w:rsid w:val="00BD1E5F"/>
    <w:rsid w:val="00BD22C0"/>
    <w:rsid w:val="00BD559F"/>
    <w:rsid w:val="00BD72A0"/>
    <w:rsid w:val="00BE0ADF"/>
    <w:rsid w:val="00BE2CE9"/>
    <w:rsid w:val="00BE4281"/>
    <w:rsid w:val="00BF1A82"/>
    <w:rsid w:val="00BF3D05"/>
    <w:rsid w:val="00BF4A8E"/>
    <w:rsid w:val="00BF7E11"/>
    <w:rsid w:val="00C03C37"/>
    <w:rsid w:val="00C10B27"/>
    <w:rsid w:val="00C1367D"/>
    <w:rsid w:val="00C1377C"/>
    <w:rsid w:val="00C1421A"/>
    <w:rsid w:val="00C21941"/>
    <w:rsid w:val="00C25447"/>
    <w:rsid w:val="00C30E40"/>
    <w:rsid w:val="00C31A64"/>
    <w:rsid w:val="00C3501D"/>
    <w:rsid w:val="00C3596F"/>
    <w:rsid w:val="00C35A2A"/>
    <w:rsid w:val="00C378E5"/>
    <w:rsid w:val="00C4031F"/>
    <w:rsid w:val="00C40A9B"/>
    <w:rsid w:val="00C4167D"/>
    <w:rsid w:val="00C443D4"/>
    <w:rsid w:val="00C4528E"/>
    <w:rsid w:val="00C4624E"/>
    <w:rsid w:val="00C46A93"/>
    <w:rsid w:val="00C47762"/>
    <w:rsid w:val="00C62511"/>
    <w:rsid w:val="00C62E04"/>
    <w:rsid w:val="00C64321"/>
    <w:rsid w:val="00C709B0"/>
    <w:rsid w:val="00C70A21"/>
    <w:rsid w:val="00C730E3"/>
    <w:rsid w:val="00C732C6"/>
    <w:rsid w:val="00C75C9E"/>
    <w:rsid w:val="00C767F4"/>
    <w:rsid w:val="00C778C1"/>
    <w:rsid w:val="00C83FDB"/>
    <w:rsid w:val="00C84421"/>
    <w:rsid w:val="00C86437"/>
    <w:rsid w:val="00C865A3"/>
    <w:rsid w:val="00C868C5"/>
    <w:rsid w:val="00C90F05"/>
    <w:rsid w:val="00C91230"/>
    <w:rsid w:val="00C9660D"/>
    <w:rsid w:val="00CA03C0"/>
    <w:rsid w:val="00CA0565"/>
    <w:rsid w:val="00CA1F06"/>
    <w:rsid w:val="00CA2E58"/>
    <w:rsid w:val="00CB054B"/>
    <w:rsid w:val="00CB1EFC"/>
    <w:rsid w:val="00CB37D1"/>
    <w:rsid w:val="00CB4526"/>
    <w:rsid w:val="00CB64A1"/>
    <w:rsid w:val="00CB78A4"/>
    <w:rsid w:val="00CC7778"/>
    <w:rsid w:val="00CD0321"/>
    <w:rsid w:val="00CD0AB3"/>
    <w:rsid w:val="00CD1049"/>
    <w:rsid w:val="00CD19FB"/>
    <w:rsid w:val="00CD2131"/>
    <w:rsid w:val="00CD231B"/>
    <w:rsid w:val="00CD4514"/>
    <w:rsid w:val="00CE55E5"/>
    <w:rsid w:val="00CE63E2"/>
    <w:rsid w:val="00CE702F"/>
    <w:rsid w:val="00CF0CB2"/>
    <w:rsid w:val="00CF0D6F"/>
    <w:rsid w:val="00CF1344"/>
    <w:rsid w:val="00CF1D16"/>
    <w:rsid w:val="00CF3D6C"/>
    <w:rsid w:val="00D0046C"/>
    <w:rsid w:val="00D00F54"/>
    <w:rsid w:val="00D03C03"/>
    <w:rsid w:val="00D07F2E"/>
    <w:rsid w:val="00D12ABB"/>
    <w:rsid w:val="00D13326"/>
    <w:rsid w:val="00D15537"/>
    <w:rsid w:val="00D20C2C"/>
    <w:rsid w:val="00D20E44"/>
    <w:rsid w:val="00D226E7"/>
    <w:rsid w:val="00D229F4"/>
    <w:rsid w:val="00D24E0F"/>
    <w:rsid w:val="00D25C54"/>
    <w:rsid w:val="00D2754B"/>
    <w:rsid w:val="00D30E1D"/>
    <w:rsid w:val="00D35841"/>
    <w:rsid w:val="00D425C9"/>
    <w:rsid w:val="00D4329E"/>
    <w:rsid w:val="00D46028"/>
    <w:rsid w:val="00D4661A"/>
    <w:rsid w:val="00D51818"/>
    <w:rsid w:val="00D53D6A"/>
    <w:rsid w:val="00D54EC1"/>
    <w:rsid w:val="00D54F2C"/>
    <w:rsid w:val="00D5547A"/>
    <w:rsid w:val="00D56DD5"/>
    <w:rsid w:val="00D65636"/>
    <w:rsid w:val="00D65EA2"/>
    <w:rsid w:val="00D665E0"/>
    <w:rsid w:val="00D67BC3"/>
    <w:rsid w:val="00D7123E"/>
    <w:rsid w:val="00D71EB3"/>
    <w:rsid w:val="00D74135"/>
    <w:rsid w:val="00D756CB"/>
    <w:rsid w:val="00D766EB"/>
    <w:rsid w:val="00D77079"/>
    <w:rsid w:val="00D77F2F"/>
    <w:rsid w:val="00D80744"/>
    <w:rsid w:val="00D81C96"/>
    <w:rsid w:val="00D82B3F"/>
    <w:rsid w:val="00D85C96"/>
    <w:rsid w:val="00D85D36"/>
    <w:rsid w:val="00D867B5"/>
    <w:rsid w:val="00D90C95"/>
    <w:rsid w:val="00D9263A"/>
    <w:rsid w:val="00D93348"/>
    <w:rsid w:val="00D9392A"/>
    <w:rsid w:val="00D958E0"/>
    <w:rsid w:val="00DA3D17"/>
    <w:rsid w:val="00DB0114"/>
    <w:rsid w:val="00DB1DF2"/>
    <w:rsid w:val="00DB260B"/>
    <w:rsid w:val="00DB2F05"/>
    <w:rsid w:val="00DB3822"/>
    <w:rsid w:val="00DB6BF8"/>
    <w:rsid w:val="00DB6C4E"/>
    <w:rsid w:val="00DB78AC"/>
    <w:rsid w:val="00DC28E5"/>
    <w:rsid w:val="00DC46D0"/>
    <w:rsid w:val="00DC6738"/>
    <w:rsid w:val="00DD019C"/>
    <w:rsid w:val="00DD34B2"/>
    <w:rsid w:val="00DD4D80"/>
    <w:rsid w:val="00DD5FBE"/>
    <w:rsid w:val="00DD6D96"/>
    <w:rsid w:val="00DD6F55"/>
    <w:rsid w:val="00DD7935"/>
    <w:rsid w:val="00DD7E76"/>
    <w:rsid w:val="00DE26EE"/>
    <w:rsid w:val="00DE2E61"/>
    <w:rsid w:val="00DE4BD4"/>
    <w:rsid w:val="00DE4C0A"/>
    <w:rsid w:val="00DE5C1D"/>
    <w:rsid w:val="00DE6439"/>
    <w:rsid w:val="00DE7384"/>
    <w:rsid w:val="00DF4A24"/>
    <w:rsid w:val="00DF4A3D"/>
    <w:rsid w:val="00DF622A"/>
    <w:rsid w:val="00E02E36"/>
    <w:rsid w:val="00E03DF2"/>
    <w:rsid w:val="00E0777D"/>
    <w:rsid w:val="00E1155E"/>
    <w:rsid w:val="00E1502F"/>
    <w:rsid w:val="00E1612A"/>
    <w:rsid w:val="00E222EC"/>
    <w:rsid w:val="00E25034"/>
    <w:rsid w:val="00E253D7"/>
    <w:rsid w:val="00E30DC0"/>
    <w:rsid w:val="00E31B8B"/>
    <w:rsid w:val="00E342AC"/>
    <w:rsid w:val="00E37107"/>
    <w:rsid w:val="00E42E65"/>
    <w:rsid w:val="00E42ED3"/>
    <w:rsid w:val="00E50BAF"/>
    <w:rsid w:val="00E51E4C"/>
    <w:rsid w:val="00E52E4D"/>
    <w:rsid w:val="00E54F0E"/>
    <w:rsid w:val="00E55712"/>
    <w:rsid w:val="00E56514"/>
    <w:rsid w:val="00E64F01"/>
    <w:rsid w:val="00E664BF"/>
    <w:rsid w:val="00E66D36"/>
    <w:rsid w:val="00E67B1B"/>
    <w:rsid w:val="00E704EC"/>
    <w:rsid w:val="00E71E33"/>
    <w:rsid w:val="00E7345D"/>
    <w:rsid w:val="00E76F4F"/>
    <w:rsid w:val="00E8538F"/>
    <w:rsid w:val="00E86A28"/>
    <w:rsid w:val="00E87651"/>
    <w:rsid w:val="00E9224F"/>
    <w:rsid w:val="00E92F4A"/>
    <w:rsid w:val="00E971E9"/>
    <w:rsid w:val="00E97522"/>
    <w:rsid w:val="00EA079A"/>
    <w:rsid w:val="00EA2FDE"/>
    <w:rsid w:val="00EB2992"/>
    <w:rsid w:val="00EB53A8"/>
    <w:rsid w:val="00EB7C6A"/>
    <w:rsid w:val="00EC0D94"/>
    <w:rsid w:val="00EC14B5"/>
    <w:rsid w:val="00EC1EFF"/>
    <w:rsid w:val="00EC4947"/>
    <w:rsid w:val="00EC4FA8"/>
    <w:rsid w:val="00EC70BD"/>
    <w:rsid w:val="00ED238A"/>
    <w:rsid w:val="00ED27A3"/>
    <w:rsid w:val="00ED3AB6"/>
    <w:rsid w:val="00ED5800"/>
    <w:rsid w:val="00EE0521"/>
    <w:rsid w:val="00EE0BE2"/>
    <w:rsid w:val="00EE1A61"/>
    <w:rsid w:val="00EE1CB6"/>
    <w:rsid w:val="00EE3571"/>
    <w:rsid w:val="00EE4AE0"/>
    <w:rsid w:val="00EF0001"/>
    <w:rsid w:val="00EF08A7"/>
    <w:rsid w:val="00EF0FB2"/>
    <w:rsid w:val="00EF15A7"/>
    <w:rsid w:val="00EF448F"/>
    <w:rsid w:val="00EF54D3"/>
    <w:rsid w:val="00F00180"/>
    <w:rsid w:val="00F0071D"/>
    <w:rsid w:val="00F01127"/>
    <w:rsid w:val="00F04BF9"/>
    <w:rsid w:val="00F05E5F"/>
    <w:rsid w:val="00F123C2"/>
    <w:rsid w:val="00F127BF"/>
    <w:rsid w:val="00F12CB8"/>
    <w:rsid w:val="00F13498"/>
    <w:rsid w:val="00F14293"/>
    <w:rsid w:val="00F17889"/>
    <w:rsid w:val="00F24C09"/>
    <w:rsid w:val="00F255F2"/>
    <w:rsid w:val="00F308A3"/>
    <w:rsid w:val="00F32E3A"/>
    <w:rsid w:val="00F35F29"/>
    <w:rsid w:val="00F3667D"/>
    <w:rsid w:val="00F367CF"/>
    <w:rsid w:val="00F36A5F"/>
    <w:rsid w:val="00F37030"/>
    <w:rsid w:val="00F37E90"/>
    <w:rsid w:val="00F40692"/>
    <w:rsid w:val="00F41153"/>
    <w:rsid w:val="00F418A8"/>
    <w:rsid w:val="00F41B53"/>
    <w:rsid w:val="00F43B99"/>
    <w:rsid w:val="00F476AB"/>
    <w:rsid w:val="00F54376"/>
    <w:rsid w:val="00F546B4"/>
    <w:rsid w:val="00F55559"/>
    <w:rsid w:val="00F55938"/>
    <w:rsid w:val="00F63216"/>
    <w:rsid w:val="00F72B00"/>
    <w:rsid w:val="00F72E01"/>
    <w:rsid w:val="00F74974"/>
    <w:rsid w:val="00F7789D"/>
    <w:rsid w:val="00F77C35"/>
    <w:rsid w:val="00F8036D"/>
    <w:rsid w:val="00F805F6"/>
    <w:rsid w:val="00F82EA6"/>
    <w:rsid w:val="00F861E6"/>
    <w:rsid w:val="00F86A00"/>
    <w:rsid w:val="00F87305"/>
    <w:rsid w:val="00F877DD"/>
    <w:rsid w:val="00F94B76"/>
    <w:rsid w:val="00F97818"/>
    <w:rsid w:val="00F97EC3"/>
    <w:rsid w:val="00FA3005"/>
    <w:rsid w:val="00FA3DD5"/>
    <w:rsid w:val="00FB12C0"/>
    <w:rsid w:val="00FB12F8"/>
    <w:rsid w:val="00FB174A"/>
    <w:rsid w:val="00FB49BC"/>
    <w:rsid w:val="00FB68E3"/>
    <w:rsid w:val="00FC098C"/>
    <w:rsid w:val="00FC0F86"/>
    <w:rsid w:val="00FC2800"/>
    <w:rsid w:val="00FC44A8"/>
    <w:rsid w:val="00FC4BC6"/>
    <w:rsid w:val="00FC5EF0"/>
    <w:rsid w:val="00FD1492"/>
    <w:rsid w:val="00FD370E"/>
    <w:rsid w:val="00FD4FFD"/>
    <w:rsid w:val="00FD50BF"/>
    <w:rsid w:val="00FE0CF6"/>
    <w:rsid w:val="00FE0D1F"/>
    <w:rsid w:val="00FE1BEC"/>
    <w:rsid w:val="00FE2722"/>
    <w:rsid w:val="00FE2CCF"/>
    <w:rsid w:val="00FE5E86"/>
    <w:rsid w:val="00FF16CF"/>
    <w:rsid w:val="00FF3516"/>
    <w:rsid w:val="00FF36D1"/>
    <w:rsid w:val="00FF652B"/>
    <w:rsid w:val="00FF7436"/>
    <w:rsid w:val="030F6088"/>
    <w:rsid w:val="0993311F"/>
    <w:rsid w:val="0B0B1783"/>
    <w:rsid w:val="155F40C7"/>
    <w:rsid w:val="168B1A72"/>
    <w:rsid w:val="17EF29F3"/>
    <w:rsid w:val="1F3B666F"/>
    <w:rsid w:val="1FDF1AD4"/>
    <w:rsid w:val="1FFFCFFE"/>
    <w:rsid w:val="22A40DFD"/>
    <w:rsid w:val="2304057E"/>
    <w:rsid w:val="24172B97"/>
    <w:rsid w:val="27BF1686"/>
    <w:rsid w:val="291679AE"/>
    <w:rsid w:val="2F963A30"/>
    <w:rsid w:val="31A925E9"/>
    <w:rsid w:val="32146967"/>
    <w:rsid w:val="33F723F7"/>
    <w:rsid w:val="352D58F1"/>
    <w:rsid w:val="35DAD856"/>
    <w:rsid w:val="35FB9AC2"/>
    <w:rsid w:val="3A5D167E"/>
    <w:rsid w:val="3D611FF1"/>
    <w:rsid w:val="3DF6890E"/>
    <w:rsid w:val="3F9B9841"/>
    <w:rsid w:val="3FEF9A22"/>
    <w:rsid w:val="41032045"/>
    <w:rsid w:val="44AC272D"/>
    <w:rsid w:val="47571D3F"/>
    <w:rsid w:val="483376F0"/>
    <w:rsid w:val="4BFDCEA9"/>
    <w:rsid w:val="4CFC95EB"/>
    <w:rsid w:val="4DB5ED73"/>
    <w:rsid w:val="532A3E4B"/>
    <w:rsid w:val="554A0136"/>
    <w:rsid w:val="565A3225"/>
    <w:rsid w:val="5E7F7912"/>
    <w:rsid w:val="5F7A7E19"/>
    <w:rsid w:val="5FDE2F9A"/>
    <w:rsid w:val="5FF3D482"/>
    <w:rsid w:val="613C2B93"/>
    <w:rsid w:val="6183747B"/>
    <w:rsid w:val="64630A53"/>
    <w:rsid w:val="65B8702E"/>
    <w:rsid w:val="65FC5F92"/>
    <w:rsid w:val="6691436B"/>
    <w:rsid w:val="669E04D0"/>
    <w:rsid w:val="67A83635"/>
    <w:rsid w:val="6D7632D1"/>
    <w:rsid w:val="6D7B5752"/>
    <w:rsid w:val="6D7F813A"/>
    <w:rsid w:val="6DB91F9C"/>
    <w:rsid w:val="6E4B2704"/>
    <w:rsid w:val="6EBB8D64"/>
    <w:rsid w:val="6ED9CDE8"/>
    <w:rsid w:val="6FDFFF80"/>
    <w:rsid w:val="6FFE6887"/>
    <w:rsid w:val="70CB7AAB"/>
    <w:rsid w:val="71E7C654"/>
    <w:rsid w:val="71FE80A5"/>
    <w:rsid w:val="741947A1"/>
    <w:rsid w:val="74C3C7F3"/>
    <w:rsid w:val="75894392"/>
    <w:rsid w:val="75A50A9C"/>
    <w:rsid w:val="778F645F"/>
    <w:rsid w:val="77EDDD02"/>
    <w:rsid w:val="79CB00CE"/>
    <w:rsid w:val="7A5A3C6F"/>
    <w:rsid w:val="7BD5A778"/>
    <w:rsid w:val="7BDDE781"/>
    <w:rsid w:val="7CEC58D0"/>
    <w:rsid w:val="7DE06466"/>
    <w:rsid w:val="7EA7C483"/>
    <w:rsid w:val="7EF79F65"/>
    <w:rsid w:val="7F7B2387"/>
    <w:rsid w:val="7FB62828"/>
    <w:rsid w:val="7FDE49AB"/>
    <w:rsid w:val="7FFF70CC"/>
    <w:rsid w:val="9FF76B38"/>
    <w:rsid w:val="9FFD561E"/>
    <w:rsid w:val="A6E7E30B"/>
    <w:rsid w:val="A7F70CDC"/>
    <w:rsid w:val="ACA705CD"/>
    <w:rsid w:val="B0DFEFE4"/>
    <w:rsid w:val="B3DDF7EE"/>
    <w:rsid w:val="B77FB3D2"/>
    <w:rsid w:val="B7F38CD7"/>
    <w:rsid w:val="BA494B1A"/>
    <w:rsid w:val="BA6F0FBE"/>
    <w:rsid w:val="C3FD0324"/>
    <w:rsid w:val="CBAB13E5"/>
    <w:rsid w:val="CD770C9F"/>
    <w:rsid w:val="CE93B199"/>
    <w:rsid w:val="CFC7064D"/>
    <w:rsid w:val="CFFFAA49"/>
    <w:rsid w:val="D35FA2C9"/>
    <w:rsid w:val="D3C30EE3"/>
    <w:rsid w:val="D3FEFF17"/>
    <w:rsid w:val="D5E1D55C"/>
    <w:rsid w:val="D8FD28FB"/>
    <w:rsid w:val="DAFBCD3E"/>
    <w:rsid w:val="DD5F153D"/>
    <w:rsid w:val="DF3B1B59"/>
    <w:rsid w:val="DF5FFB7E"/>
    <w:rsid w:val="DF7F8366"/>
    <w:rsid w:val="E8BC7E0C"/>
    <w:rsid w:val="EA6D811E"/>
    <w:rsid w:val="EB63EBEC"/>
    <w:rsid w:val="F32F03E5"/>
    <w:rsid w:val="F39F6CC7"/>
    <w:rsid w:val="F3BF4C05"/>
    <w:rsid w:val="F64AF9B9"/>
    <w:rsid w:val="F7EFE3E0"/>
    <w:rsid w:val="F99BEC8B"/>
    <w:rsid w:val="F9FAF254"/>
    <w:rsid w:val="FB7D23AA"/>
    <w:rsid w:val="FBEE7BC9"/>
    <w:rsid w:val="FBEF109F"/>
    <w:rsid w:val="FDDBA947"/>
    <w:rsid w:val="FE7E20AA"/>
    <w:rsid w:val="FEEAEA19"/>
    <w:rsid w:val="FF73C558"/>
    <w:rsid w:val="FF7F3ADA"/>
    <w:rsid w:val="FFB9A67E"/>
    <w:rsid w:val="FFE51077"/>
    <w:rsid w:val="FFEFA28A"/>
    <w:rsid w:val="FFF5E56D"/>
    <w:rsid w:val="FFFEF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qFormat="1" w:unhideWhenUsed="0" w:uiPriority="0" w:semiHidden="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5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7"/>
    <w:qFormat/>
    <w:uiPriority w:val="0"/>
    <w:pPr>
      <w:keepNext/>
      <w:keepLines/>
      <w:spacing w:before="340" w:after="330" w:line="576" w:lineRule="auto"/>
      <w:outlineLvl w:val="0"/>
    </w:pPr>
    <w:rPr>
      <w:b/>
      <w:kern w:val="44"/>
      <w:sz w:val="44"/>
    </w:rPr>
  </w:style>
  <w:style w:type="paragraph" w:styleId="3">
    <w:name w:val="heading 2"/>
    <w:basedOn w:val="1"/>
    <w:next w:val="1"/>
    <w:link w:val="5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56"/>
    <w:qFormat/>
    <w:uiPriority w:val="0"/>
    <w:pPr>
      <w:keepNext/>
      <w:keepLines/>
      <w:spacing w:before="260" w:after="260" w:line="416" w:lineRule="auto"/>
      <w:outlineLvl w:val="2"/>
    </w:pPr>
    <w:rPr>
      <w:b/>
      <w:bCs/>
      <w:sz w:val="32"/>
      <w:szCs w:val="32"/>
    </w:rPr>
  </w:style>
  <w:style w:type="paragraph" w:styleId="5">
    <w:name w:val="heading 9"/>
    <w:basedOn w:val="1"/>
    <w:next w:val="1"/>
    <w:link w:val="41"/>
    <w:qFormat/>
    <w:uiPriority w:val="0"/>
    <w:pPr>
      <w:keepNext/>
      <w:keepLines/>
      <w:spacing w:before="240" w:after="64" w:line="320" w:lineRule="auto"/>
      <w:outlineLvl w:val="8"/>
    </w:pPr>
    <w:rPr>
      <w:rFonts w:ascii="等线 Light" w:hAnsi="等线 Light" w:eastAsia="等线 Light"/>
      <w:szCs w:val="21"/>
    </w:rPr>
  </w:style>
  <w:style w:type="character" w:default="1" w:styleId="19">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59"/>
    <w:qFormat/>
    <w:uiPriority w:val="0"/>
    <w:rPr>
      <w:b/>
      <w:bCs/>
    </w:rPr>
  </w:style>
  <w:style w:type="paragraph" w:styleId="7">
    <w:name w:val="annotation text"/>
    <w:basedOn w:val="1"/>
    <w:link w:val="34"/>
    <w:qFormat/>
    <w:uiPriority w:val="0"/>
    <w:pPr>
      <w:jc w:val="left"/>
    </w:pPr>
  </w:style>
  <w:style w:type="paragraph" w:styleId="8">
    <w:name w:val="table of authorities"/>
    <w:basedOn w:val="1"/>
    <w:next w:val="1"/>
    <w:qFormat/>
    <w:uiPriority w:val="0"/>
    <w:pPr>
      <w:ind w:left="420" w:leftChars="200"/>
    </w:pPr>
    <w:rPr>
      <w:rFonts w:ascii="Times New Roman" w:hAnsi="Times New Roman"/>
    </w:rPr>
  </w:style>
  <w:style w:type="paragraph" w:styleId="9">
    <w:name w:val="Normal Indent"/>
    <w:basedOn w:val="1"/>
    <w:qFormat/>
    <w:uiPriority w:val="0"/>
    <w:pPr>
      <w:keepNext/>
      <w:spacing w:line="560" w:lineRule="exact"/>
      <w:ind w:firstLine="420" w:firstLineChars="200"/>
    </w:pPr>
    <w:rPr>
      <w:rFonts w:ascii="仿宋_GB2312" w:hAnsi="仿宋_GB2312" w:eastAsia="仿宋_GB2312" w:cs="Calibri"/>
      <w:sz w:val="32"/>
      <w:szCs w:val="22"/>
    </w:rPr>
  </w:style>
  <w:style w:type="paragraph" w:styleId="10">
    <w:name w:val="Body Text Indent"/>
    <w:basedOn w:val="1"/>
    <w:link w:val="33"/>
    <w:qFormat/>
    <w:uiPriority w:val="0"/>
    <w:pPr>
      <w:spacing w:after="120"/>
      <w:ind w:left="420" w:leftChars="200"/>
    </w:pPr>
  </w:style>
  <w:style w:type="paragraph" w:styleId="11">
    <w:name w:val="Plain Text"/>
    <w:basedOn w:val="1"/>
    <w:link w:val="28"/>
    <w:qFormat/>
    <w:uiPriority w:val="0"/>
    <w:rPr>
      <w:rFonts w:ascii="宋体" w:hAnsi="Courier New" w:cs="Courier New"/>
      <w:szCs w:val="21"/>
    </w:rPr>
  </w:style>
  <w:style w:type="paragraph" w:styleId="12">
    <w:name w:val="Balloon Text"/>
    <w:basedOn w:val="1"/>
    <w:link w:val="58"/>
    <w:qFormat/>
    <w:uiPriority w:val="0"/>
    <w:rPr>
      <w:sz w:val="18"/>
      <w:szCs w:val="18"/>
    </w:rPr>
  </w:style>
  <w:style w:type="paragraph" w:styleId="13">
    <w:name w:val="footer"/>
    <w:basedOn w:val="1"/>
    <w:link w:val="43"/>
    <w:qFormat/>
    <w:uiPriority w:val="99"/>
    <w:pPr>
      <w:tabs>
        <w:tab w:val="center" w:pos="4153"/>
        <w:tab w:val="right" w:pos="8306"/>
      </w:tabs>
      <w:snapToGrid w:val="0"/>
      <w:jc w:val="left"/>
    </w:pPr>
    <w:rPr>
      <w:sz w:val="18"/>
      <w:szCs w:val="18"/>
    </w:rPr>
  </w:style>
  <w:style w:type="paragraph" w:styleId="14">
    <w:name w:val="Body Text First Indent 2"/>
    <w:basedOn w:val="10"/>
    <w:link w:val="48"/>
    <w:unhideWhenUsed/>
    <w:qFormat/>
    <w:uiPriority w:val="99"/>
    <w:pPr>
      <w:spacing w:after="0" w:line="360" w:lineRule="auto"/>
      <w:ind w:left="0" w:leftChars="0" w:firstLine="420" w:firstLineChars="200"/>
    </w:pPr>
    <w:rPr>
      <w:rFonts w:hint="eastAsia" w:ascii="Times New Roman" w:hAnsi="Times New Roman"/>
    </w:rPr>
  </w:style>
  <w:style w:type="paragraph" w:styleId="15">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link w:val="45"/>
    <w:qFormat/>
    <w:uiPriority w:val="10"/>
    <w:pPr>
      <w:keepNext/>
      <w:adjustRightInd w:val="0"/>
      <w:snapToGrid w:val="0"/>
      <w:ind w:firstLine="1040" w:firstLineChars="200"/>
      <w:jc w:val="center"/>
    </w:pPr>
    <w:rPr>
      <w:rFonts w:eastAsia="方正小标宋简体"/>
      <w:caps/>
      <w:kern w:val="0"/>
      <w:sz w:val="52"/>
      <w:szCs w:val="52"/>
    </w:rPr>
  </w:style>
  <w:style w:type="character" w:styleId="20">
    <w:name w:val="Strong"/>
    <w:qFormat/>
    <w:uiPriority w:val="22"/>
    <w:rPr>
      <w:b/>
      <w:bCs/>
    </w:rPr>
  </w:style>
  <w:style w:type="character" w:styleId="21">
    <w:name w:val="page number"/>
    <w:unhideWhenUsed/>
    <w:qFormat/>
    <w:uiPriority w:val="0"/>
  </w:style>
  <w:style w:type="character" w:styleId="22">
    <w:name w:val="Hyperlink"/>
    <w:unhideWhenUsed/>
    <w:qFormat/>
    <w:uiPriority w:val="99"/>
    <w:rPr>
      <w:color w:val="0563C1"/>
      <w:u w:val="single"/>
    </w:rPr>
  </w:style>
  <w:style w:type="character" w:styleId="23">
    <w:name w:val="annotation reference"/>
    <w:qFormat/>
    <w:uiPriority w:val="0"/>
    <w:rPr>
      <w:sz w:val="21"/>
      <w:szCs w:val="21"/>
    </w:rPr>
  </w:style>
  <w:style w:type="table" w:styleId="25">
    <w:name w:val="Table Grid"/>
    <w:basedOn w:val="24"/>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6">
    <w:name w:val="标题 2 Char"/>
    <w:qFormat/>
    <w:uiPriority w:val="0"/>
    <w:rPr>
      <w:rFonts w:ascii="Arial" w:hAnsi="Arial" w:eastAsia="黑体"/>
      <w:b/>
      <w:kern w:val="2"/>
      <w:sz w:val="32"/>
      <w:szCs w:val="24"/>
    </w:rPr>
  </w:style>
  <w:style w:type="character" w:customStyle="1" w:styleId="27">
    <w:name w:val="页脚 字符"/>
    <w:qFormat/>
    <w:uiPriority w:val="99"/>
    <w:rPr>
      <w:kern w:val="2"/>
      <w:sz w:val="18"/>
      <w:szCs w:val="18"/>
    </w:rPr>
  </w:style>
  <w:style w:type="character" w:customStyle="1" w:styleId="28">
    <w:name w:val="纯文本 字符1"/>
    <w:link w:val="11"/>
    <w:qFormat/>
    <w:uiPriority w:val="0"/>
    <w:rPr>
      <w:rFonts w:ascii="宋体" w:hAnsi="Courier New" w:cs="Courier New"/>
      <w:kern w:val="2"/>
      <w:sz w:val="21"/>
      <w:szCs w:val="21"/>
    </w:rPr>
  </w:style>
  <w:style w:type="character" w:customStyle="1" w:styleId="29">
    <w:name w:val="纯文本 字符"/>
    <w:qFormat/>
    <w:uiPriority w:val="0"/>
    <w:rPr>
      <w:rFonts w:ascii="宋体" w:hAnsi="Courier New" w:eastAsia="宋体" w:cs="Courier New"/>
      <w:szCs w:val="21"/>
    </w:rPr>
  </w:style>
  <w:style w:type="character" w:customStyle="1" w:styleId="30">
    <w:name w:val="批注框文本 字符"/>
    <w:qFormat/>
    <w:uiPriority w:val="0"/>
    <w:rPr>
      <w:kern w:val="2"/>
      <w:sz w:val="18"/>
      <w:szCs w:val="18"/>
    </w:rPr>
  </w:style>
  <w:style w:type="character" w:customStyle="1" w:styleId="31">
    <w:name w:val="fontstyle11"/>
    <w:qFormat/>
    <w:uiPriority w:val="0"/>
    <w:rPr>
      <w:rFonts w:hint="default" w:ascii="FZXBSJW--GB1-0" w:hAnsi="FZXBSJW--GB1-0"/>
      <w:color w:val="FF0000"/>
      <w:sz w:val="72"/>
      <w:szCs w:val="72"/>
    </w:rPr>
  </w:style>
  <w:style w:type="character" w:customStyle="1" w:styleId="32">
    <w:name w:val="页眉 字符"/>
    <w:qFormat/>
    <w:uiPriority w:val="0"/>
    <w:rPr>
      <w:kern w:val="2"/>
      <w:sz w:val="18"/>
      <w:szCs w:val="18"/>
    </w:rPr>
  </w:style>
  <w:style w:type="character" w:customStyle="1" w:styleId="33">
    <w:name w:val="正文文本缩进 字符"/>
    <w:link w:val="10"/>
    <w:qFormat/>
    <w:uiPriority w:val="0"/>
    <w:rPr>
      <w:kern w:val="2"/>
      <w:sz w:val="21"/>
      <w:szCs w:val="24"/>
    </w:rPr>
  </w:style>
  <w:style w:type="character" w:customStyle="1" w:styleId="34">
    <w:name w:val="批注文字 字符1"/>
    <w:link w:val="7"/>
    <w:qFormat/>
    <w:uiPriority w:val="0"/>
    <w:rPr>
      <w:kern w:val="2"/>
      <w:sz w:val="21"/>
      <w:szCs w:val="24"/>
    </w:rPr>
  </w:style>
  <w:style w:type="character" w:customStyle="1" w:styleId="35">
    <w:name w:val="页眉 字符1"/>
    <w:link w:val="15"/>
    <w:qFormat/>
    <w:uiPriority w:val="0"/>
    <w:rPr>
      <w:kern w:val="2"/>
      <w:sz w:val="18"/>
      <w:szCs w:val="18"/>
    </w:rPr>
  </w:style>
  <w:style w:type="character" w:customStyle="1" w:styleId="36">
    <w:name w:val="标题 字符1"/>
    <w:qFormat/>
    <w:uiPriority w:val="0"/>
    <w:rPr>
      <w:rFonts w:ascii="等线 Light" w:hAnsi="等线 Light" w:cs="Times New Roman"/>
      <w:b/>
      <w:bCs/>
      <w:kern w:val="2"/>
      <w:sz w:val="32"/>
      <w:szCs w:val="32"/>
    </w:rPr>
  </w:style>
  <w:style w:type="character" w:customStyle="1" w:styleId="37">
    <w:name w:val="fontstyle31"/>
    <w:qFormat/>
    <w:uiPriority w:val="0"/>
    <w:rPr>
      <w:rFonts w:hint="default" w:ascii="TimesNewRomanPSMT" w:hAnsi="TimesNewRomanPSMT"/>
      <w:color w:val="000000"/>
      <w:sz w:val="32"/>
      <w:szCs w:val="32"/>
    </w:rPr>
  </w:style>
  <w:style w:type="character" w:customStyle="1" w:styleId="38">
    <w:name w:val="标题 Char"/>
    <w:qFormat/>
    <w:uiPriority w:val="0"/>
    <w:rPr>
      <w:rFonts w:ascii="Cambria" w:hAnsi="Cambria" w:cs="Times New Roman"/>
      <w:b/>
      <w:bCs/>
      <w:kern w:val="2"/>
      <w:sz w:val="32"/>
      <w:szCs w:val="32"/>
    </w:rPr>
  </w:style>
  <w:style w:type="character" w:customStyle="1" w:styleId="39">
    <w:name w:val="fontstyle21"/>
    <w:qFormat/>
    <w:uiPriority w:val="0"/>
    <w:rPr>
      <w:rFonts w:hint="eastAsia" w:ascii="黑体" w:hAnsi="黑体" w:eastAsia="黑体"/>
      <w:color w:val="000000"/>
      <w:sz w:val="32"/>
      <w:szCs w:val="32"/>
    </w:rPr>
  </w:style>
  <w:style w:type="character" w:customStyle="1" w:styleId="40">
    <w:name w:val="标题 3 Char"/>
    <w:semiHidden/>
    <w:qFormat/>
    <w:uiPriority w:val="0"/>
    <w:rPr>
      <w:b/>
      <w:bCs/>
      <w:kern w:val="2"/>
      <w:sz w:val="32"/>
      <w:szCs w:val="32"/>
    </w:rPr>
  </w:style>
  <w:style w:type="character" w:customStyle="1" w:styleId="41">
    <w:name w:val="标题 9 字符"/>
    <w:link w:val="5"/>
    <w:semiHidden/>
    <w:qFormat/>
    <w:uiPriority w:val="0"/>
    <w:rPr>
      <w:rFonts w:ascii="等线 Light" w:hAnsi="等线 Light" w:eastAsia="等线 Light" w:cs="Times New Roman"/>
      <w:kern w:val="2"/>
      <w:sz w:val="21"/>
      <w:szCs w:val="21"/>
    </w:rPr>
  </w:style>
  <w:style w:type="character" w:customStyle="1" w:styleId="42">
    <w:name w:val="批注主题 字符"/>
    <w:qFormat/>
    <w:uiPriority w:val="0"/>
    <w:rPr>
      <w:b/>
      <w:bCs/>
      <w:kern w:val="2"/>
      <w:sz w:val="21"/>
      <w:szCs w:val="24"/>
    </w:rPr>
  </w:style>
  <w:style w:type="character" w:customStyle="1" w:styleId="43">
    <w:name w:val="页脚 字符1"/>
    <w:link w:val="13"/>
    <w:qFormat/>
    <w:uiPriority w:val="99"/>
    <w:rPr>
      <w:kern w:val="2"/>
      <w:sz w:val="18"/>
      <w:szCs w:val="18"/>
    </w:rPr>
  </w:style>
  <w:style w:type="character" w:customStyle="1" w:styleId="44">
    <w:name w:val="NormalCharacter"/>
    <w:qFormat/>
    <w:uiPriority w:val="0"/>
    <w:rPr>
      <w:rFonts w:ascii="Times New Roman" w:hAnsi="Times New Roman" w:eastAsia="仿宋_GB2312" w:cs="Calibri"/>
      <w:kern w:val="2"/>
      <w:sz w:val="32"/>
      <w:szCs w:val="22"/>
      <w:lang w:val="en-US" w:eastAsia="zh-CN" w:bidi="ar-SA"/>
    </w:rPr>
  </w:style>
  <w:style w:type="character" w:customStyle="1" w:styleId="45">
    <w:name w:val="标题 字符"/>
    <w:link w:val="18"/>
    <w:qFormat/>
    <w:uiPriority w:val="10"/>
    <w:rPr>
      <w:rFonts w:eastAsia="方正小标宋简体"/>
      <w:caps/>
      <w:sz w:val="52"/>
      <w:szCs w:val="52"/>
    </w:rPr>
  </w:style>
  <w:style w:type="character" w:customStyle="1" w:styleId="46">
    <w:name w:val="批注文字 字符"/>
    <w:qFormat/>
    <w:uiPriority w:val="0"/>
    <w:rPr>
      <w:kern w:val="2"/>
      <w:sz w:val="21"/>
      <w:szCs w:val="24"/>
    </w:rPr>
  </w:style>
  <w:style w:type="character" w:customStyle="1" w:styleId="47">
    <w:name w:val="标题 1 字符1"/>
    <w:link w:val="2"/>
    <w:qFormat/>
    <w:uiPriority w:val="0"/>
    <w:rPr>
      <w:b/>
      <w:kern w:val="44"/>
      <w:sz w:val="44"/>
    </w:rPr>
  </w:style>
  <w:style w:type="character" w:customStyle="1" w:styleId="48">
    <w:name w:val="正文首行缩进 2 字符"/>
    <w:link w:val="14"/>
    <w:qFormat/>
    <w:uiPriority w:val="99"/>
    <w:rPr>
      <w:rFonts w:ascii="Times New Roman" w:hAnsi="Times New Roman"/>
      <w:kern w:val="2"/>
      <w:sz w:val="21"/>
      <w:szCs w:val="24"/>
    </w:rPr>
  </w:style>
  <w:style w:type="character" w:customStyle="1" w:styleId="49">
    <w:name w:val="附件标题 Char"/>
    <w:link w:val="50"/>
    <w:qFormat/>
    <w:uiPriority w:val="0"/>
    <w:rPr>
      <w:rFonts w:ascii="仿宋_GB2312" w:hAnsi="仿宋_GB2312" w:eastAsia="方正小标宋简体"/>
      <w:sz w:val="44"/>
      <w:szCs w:val="32"/>
    </w:rPr>
  </w:style>
  <w:style w:type="paragraph" w:customStyle="1" w:styleId="50">
    <w:name w:val="附件标题"/>
    <w:basedOn w:val="1"/>
    <w:next w:val="1"/>
    <w:link w:val="49"/>
    <w:qFormat/>
    <w:uiPriority w:val="0"/>
    <w:pPr>
      <w:keepNext/>
      <w:spacing w:line="560" w:lineRule="exact"/>
      <w:jc w:val="center"/>
    </w:pPr>
    <w:rPr>
      <w:rFonts w:ascii="仿宋_GB2312" w:hAnsi="仿宋_GB2312" w:eastAsia="方正小标宋简体"/>
      <w:kern w:val="0"/>
      <w:sz w:val="44"/>
      <w:szCs w:val="32"/>
    </w:rPr>
  </w:style>
  <w:style w:type="character" w:customStyle="1" w:styleId="51">
    <w:name w:val="标题 2 字符"/>
    <w:link w:val="3"/>
    <w:qFormat/>
    <w:uiPriority w:val="0"/>
    <w:rPr>
      <w:rFonts w:ascii="Arial" w:hAnsi="Arial" w:eastAsia="黑体"/>
      <w:b/>
      <w:kern w:val="2"/>
      <w:sz w:val="32"/>
      <w:szCs w:val="24"/>
    </w:rPr>
  </w:style>
  <w:style w:type="character" w:customStyle="1" w:styleId="52">
    <w:name w:val="附件 Char"/>
    <w:link w:val="53"/>
    <w:qFormat/>
    <w:uiPriority w:val="0"/>
    <w:rPr>
      <w:rFonts w:ascii="仿宋_GB2312" w:hAnsi="仿宋_GB2312" w:eastAsia="仿宋_GB2312"/>
      <w:b/>
      <w:szCs w:val="32"/>
    </w:rPr>
  </w:style>
  <w:style w:type="paragraph" w:customStyle="1" w:styleId="53">
    <w:name w:val="附件"/>
    <w:basedOn w:val="1"/>
    <w:next w:val="50"/>
    <w:link w:val="52"/>
    <w:qFormat/>
    <w:uiPriority w:val="0"/>
    <w:pPr>
      <w:keepNext/>
      <w:spacing w:line="560" w:lineRule="exact"/>
      <w:jc w:val="left"/>
      <w:outlineLvl w:val="1"/>
    </w:pPr>
    <w:rPr>
      <w:rFonts w:ascii="仿宋_GB2312" w:hAnsi="仿宋_GB2312" w:eastAsia="仿宋_GB2312"/>
      <w:b/>
      <w:kern w:val="0"/>
      <w:sz w:val="20"/>
      <w:szCs w:val="32"/>
    </w:rPr>
  </w:style>
  <w:style w:type="character" w:customStyle="1" w:styleId="54">
    <w:name w:val="fontstyle01"/>
    <w:qFormat/>
    <w:uiPriority w:val="0"/>
    <w:rPr>
      <w:rFonts w:hint="eastAsia" w:ascii="仿宋_GB2312" w:eastAsia="仿宋_GB2312"/>
      <w:color w:val="000000"/>
      <w:sz w:val="32"/>
      <w:szCs w:val="32"/>
    </w:rPr>
  </w:style>
  <w:style w:type="character" w:styleId="55">
    <w:name w:val="Placeholder Text"/>
    <w:semiHidden/>
    <w:qFormat/>
    <w:uiPriority w:val="99"/>
    <w:rPr>
      <w:color w:val="808080"/>
    </w:rPr>
  </w:style>
  <w:style w:type="character" w:customStyle="1" w:styleId="56">
    <w:name w:val="标题 3 字符"/>
    <w:link w:val="4"/>
    <w:qFormat/>
    <w:uiPriority w:val="0"/>
    <w:rPr>
      <w:b/>
      <w:bCs/>
      <w:kern w:val="2"/>
      <w:sz w:val="32"/>
      <w:szCs w:val="32"/>
    </w:rPr>
  </w:style>
  <w:style w:type="character" w:customStyle="1" w:styleId="57">
    <w:name w:val="标题 1 字符"/>
    <w:qFormat/>
    <w:uiPriority w:val="0"/>
    <w:rPr>
      <w:b/>
      <w:kern w:val="44"/>
      <w:sz w:val="44"/>
    </w:rPr>
  </w:style>
  <w:style w:type="character" w:customStyle="1" w:styleId="58">
    <w:name w:val="批注框文本 字符1"/>
    <w:link w:val="12"/>
    <w:qFormat/>
    <w:uiPriority w:val="0"/>
    <w:rPr>
      <w:kern w:val="2"/>
      <w:sz w:val="18"/>
      <w:szCs w:val="18"/>
    </w:rPr>
  </w:style>
  <w:style w:type="character" w:customStyle="1" w:styleId="59">
    <w:name w:val="批注主题 字符1"/>
    <w:link w:val="6"/>
    <w:qFormat/>
    <w:uiPriority w:val="0"/>
    <w:rPr>
      <w:b/>
      <w:bCs/>
      <w:kern w:val="2"/>
      <w:sz w:val="21"/>
      <w:szCs w:val="24"/>
    </w:rPr>
  </w:style>
  <w:style w:type="paragraph" w:customStyle="1" w:styleId="60">
    <w:name w:val="_Style 37"/>
    <w:basedOn w:val="1"/>
    <w:next w:val="61"/>
    <w:qFormat/>
    <w:uiPriority w:val="34"/>
    <w:pPr>
      <w:ind w:firstLine="420" w:firstLineChars="200"/>
    </w:pPr>
  </w:style>
  <w:style w:type="paragraph" w:styleId="61">
    <w:name w:val="List Paragraph"/>
    <w:basedOn w:val="1"/>
    <w:qFormat/>
    <w:uiPriority w:val="34"/>
    <w:pPr>
      <w:ind w:firstLine="420" w:firstLineChars="200"/>
    </w:pPr>
  </w:style>
  <w:style w:type="paragraph" w:customStyle="1" w:styleId="62">
    <w:name w:val="Char Char Char Char"/>
    <w:basedOn w:val="1"/>
    <w:qFormat/>
    <w:uiPriority w:val="0"/>
    <w:rPr>
      <w:rFonts w:ascii="宋体" w:hAnsi="宋体" w:cs="Courier New"/>
      <w:sz w:val="36"/>
      <w:szCs w:val="36"/>
    </w:rPr>
  </w:style>
  <w:style w:type="paragraph" w:customStyle="1" w:styleId="63">
    <w:name w:val="_Style 62"/>
    <w:unhideWhenUsed/>
    <w:qFormat/>
    <w:uiPriority w:val="99"/>
    <w:rPr>
      <w:rFonts w:ascii="Calibri" w:hAnsi="Calibri" w:eastAsia="宋体" w:cs="Times New Roman"/>
      <w:kern w:val="2"/>
      <w:sz w:val="21"/>
      <w:szCs w:val="24"/>
      <w:lang w:val="en-US" w:eastAsia="zh-CN" w:bidi="ar-SA"/>
    </w:rPr>
  </w:style>
  <w:style w:type="paragraph" w:customStyle="1" w:styleId="64">
    <w:name w:val="修订1"/>
    <w:hidden/>
    <w:unhideWhenUsed/>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7FC5D3-46A6-4C57-BDBC-06AA2E21646D}">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80</Pages>
  <Words>6046</Words>
  <Characters>34464</Characters>
  <Lines>287</Lines>
  <Paragraphs>80</Paragraphs>
  <TotalTime>4</TotalTime>
  <ScaleCrop>false</ScaleCrop>
  <LinksUpToDate>false</LinksUpToDate>
  <CharactersWithSpaces>40430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2025-02-10T06:43:00Z</dcterms:created>
  <dc:creator>WPS_1626428214</dc:creator>
  <cp:lastModifiedBy>李景夫</cp:lastModifiedBy>
  <cp:lastPrinted>2023-11-18T09:59:00Z</cp:lastPrinted>
  <dcterms:modified xsi:type="dcterms:W3CDTF">2025-02-10T06:54:16Z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047E90F4856D4EAAA780E13BDE7DDD60</vt:lpwstr>
  </property>
</Properties>
</file>