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0" w:type="dxa"/>
        <w:tblInd w:w="-595" w:type="dxa"/>
        <w:tblLayout w:type="fixed"/>
        <w:tblLook w:val="04A0" w:firstRow="1" w:lastRow="0" w:firstColumn="1" w:lastColumn="0" w:noHBand="0" w:noVBand="1"/>
      </w:tblPr>
      <w:tblGrid>
        <w:gridCol w:w="891"/>
        <w:gridCol w:w="797"/>
        <w:gridCol w:w="1276"/>
        <w:gridCol w:w="568"/>
        <w:gridCol w:w="3260"/>
        <w:gridCol w:w="3565"/>
        <w:gridCol w:w="2977"/>
        <w:gridCol w:w="979"/>
        <w:gridCol w:w="797"/>
      </w:tblGrid>
      <w:tr w:rsidR="00AC6B16" w:rsidTr="001A6D4D">
        <w:trPr>
          <w:trHeight w:val="540"/>
        </w:trPr>
        <w:tc>
          <w:tcPr>
            <w:tcW w:w="1688" w:type="dxa"/>
            <w:gridSpan w:val="2"/>
            <w:tcBorders>
              <w:top w:val="nil"/>
              <w:left w:val="nil"/>
              <w:bottom w:val="nil"/>
              <w:right w:val="nil"/>
            </w:tcBorders>
            <w:shd w:val="clear" w:color="auto" w:fill="auto"/>
            <w:noWrap/>
            <w:vAlign w:val="center"/>
          </w:tcPr>
          <w:p w:rsidR="00AC6B16" w:rsidRDefault="00AC6B16" w:rsidP="001A6D4D">
            <w:pPr>
              <w:rPr>
                <w:rFonts w:ascii="黑体" w:eastAsia="黑体" w:hAnsi="黑体" w:cs="宋体"/>
                <w:color w:val="000000"/>
                <w:kern w:val="0"/>
                <w:szCs w:val="32"/>
              </w:rPr>
            </w:pPr>
            <w:r w:rsidRPr="0013437E">
              <w:rPr>
                <w:rFonts w:ascii="黑体" w:eastAsia="黑体" w:hAnsi="黑体" w:cs="宋体" w:hint="eastAsia"/>
                <w:color w:val="000000"/>
                <w:kern w:val="0"/>
                <w:sz w:val="32"/>
                <w:szCs w:val="32"/>
              </w:rPr>
              <w:t>附件</w:t>
            </w:r>
          </w:p>
        </w:tc>
        <w:tc>
          <w:tcPr>
            <w:tcW w:w="1276" w:type="dxa"/>
            <w:tcBorders>
              <w:top w:val="nil"/>
              <w:left w:val="nil"/>
              <w:bottom w:val="nil"/>
              <w:right w:val="nil"/>
            </w:tcBorders>
            <w:shd w:val="clear" w:color="auto" w:fill="auto"/>
            <w:noWrap/>
            <w:vAlign w:val="center"/>
          </w:tcPr>
          <w:p w:rsidR="00AC6B16" w:rsidRDefault="00AC6B16" w:rsidP="001A6D4D">
            <w:pPr>
              <w:jc w:val="center"/>
              <w:rPr>
                <w:rFonts w:ascii="宋体" w:hAnsi="宋体" w:cs="宋体"/>
                <w:color w:val="000000"/>
                <w:kern w:val="0"/>
                <w:sz w:val="22"/>
              </w:rPr>
            </w:pPr>
          </w:p>
        </w:tc>
        <w:tc>
          <w:tcPr>
            <w:tcW w:w="568" w:type="dxa"/>
            <w:tcBorders>
              <w:top w:val="nil"/>
              <w:left w:val="nil"/>
              <w:bottom w:val="nil"/>
              <w:right w:val="nil"/>
            </w:tcBorders>
            <w:shd w:val="clear" w:color="auto" w:fill="auto"/>
            <w:noWrap/>
            <w:vAlign w:val="center"/>
          </w:tcPr>
          <w:p w:rsidR="00AC6B16" w:rsidRDefault="00AC6B16" w:rsidP="001A6D4D">
            <w:pPr>
              <w:jc w:val="center"/>
              <w:rPr>
                <w:rFonts w:ascii="宋体" w:hAnsi="宋体" w:cs="宋体"/>
                <w:color w:val="000000"/>
                <w:kern w:val="0"/>
                <w:sz w:val="22"/>
              </w:rPr>
            </w:pPr>
          </w:p>
        </w:tc>
        <w:tc>
          <w:tcPr>
            <w:tcW w:w="3260" w:type="dxa"/>
            <w:tcBorders>
              <w:top w:val="nil"/>
              <w:left w:val="nil"/>
              <w:bottom w:val="nil"/>
              <w:right w:val="nil"/>
            </w:tcBorders>
            <w:shd w:val="clear" w:color="auto" w:fill="auto"/>
            <w:noWrap/>
            <w:vAlign w:val="center"/>
          </w:tcPr>
          <w:p w:rsidR="00AC6B16" w:rsidRDefault="00AC6B16" w:rsidP="001A6D4D">
            <w:pPr>
              <w:rPr>
                <w:rFonts w:ascii="宋体" w:hAnsi="宋体" w:cs="宋体"/>
                <w:color w:val="000000"/>
                <w:kern w:val="0"/>
                <w:sz w:val="22"/>
              </w:rPr>
            </w:pPr>
          </w:p>
        </w:tc>
        <w:tc>
          <w:tcPr>
            <w:tcW w:w="3565" w:type="dxa"/>
            <w:tcBorders>
              <w:top w:val="nil"/>
              <w:left w:val="nil"/>
              <w:bottom w:val="nil"/>
              <w:right w:val="nil"/>
            </w:tcBorders>
            <w:shd w:val="clear" w:color="auto" w:fill="auto"/>
            <w:noWrap/>
            <w:vAlign w:val="center"/>
          </w:tcPr>
          <w:p w:rsidR="00AC6B16" w:rsidRDefault="00AC6B16" w:rsidP="001A6D4D">
            <w:pPr>
              <w:rPr>
                <w:rFonts w:ascii="宋体" w:hAnsi="宋体" w:cs="宋体"/>
                <w:color w:val="000000"/>
                <w:kern w:val="0"/>
                <w:sz w:val="22"/>
              </w:rPr>
            </w:pPr>
          </w:p>
        </w:tc>
        <w:tc>
          <w:tcPr>
            <w:tcW w:w="2977" w:type="dxa"/>
            <w:tcBorders>
              <w:top w:val="nil"/>
              <w:left w:val="nil"/>
              <w:bottom w:val="nil"/>
              <w:right w:val="nil"/>
            </w:tcBorders>
            <w:shd w:val="clear" w:color="auto" w:fill="auto"/>
            <w:noWrap/>
            <w:vAlign w:val="center"/>
          </w:tcPr>
          <w:p w:rsidR="00AC6B16" w:rsidRDefault="00AC6B16" w:rsidP="001A6D4D">
            <w:pPr>
              <w:rPr>
                <w:rFonts w:ascii="宋体" w:hAnsi="宋体" w:cs="宋体"/>
                <w:color w:val="000000"/>
                <w:kern w:val="0"/>
                <w:sz w:val="22"/>
              </w:rPr>
            </w:pPr>
          </w:p>
        </w:tc>
        <w:tc>
          <w:tcPr>
            <w:tcW w:w="979" w:type="dxa"/>
            <w:tcBorders>
              <w:top w:val="nil"/>
              <w:left w:val="nil"/>
              <w:bottom w:val="nil"/>
              <w:right w:val="nil"/>
            </w:tcBorders>
            <w:shd w:val="clear" w:color="auto" w:fill="auto"/>
            <w:noWrap/>
            <w:vAlign w:val="center"/>
          </w:tcPr>
          <w:p w:rsidR="00AC6B16" w:rsidRDefault="00AC6B16" w:rsidP="001A6D4D">
            <w:pPr>
              <w:jc w:val="center"/>
              <w:rPr>
                <w:rFonts w:ascii="宋体" w:hAnsi="宋体" w:cs="宋体"/>
                <w:color w:val="000000"/>
                <w:kern w:val="0"/>
                <w:sz w:val="22"/>
              </w:rPr>
            </w:pPr>
          </w:p>
        </w:tc>
        <w:tc>
          <w:tcPr>
            <w:tcW w:w="797" w:type="dxa"/>
            <w:tcBorders>
              <w:top w:val="nil"/>
              <w:left w:val="nil"/>
              <w:bottom w:val="nil"/>
              <w:right w:val="nil"/>
            </w:tcBorders>
            <w:shd w:val="clear" w:color="auto" w:fill="auto"/>
            <w:noWrap/>
            <w:vAlign w:val="center"/>
          </w:tcPr>
          <w:p w:rsidR="00AC6B16" w:rsidRDefault="00AC6B16" w:rsidP="001A6D4D">
            <w:pPr>
              <w:jc w:val="center"/>
              <w:rPr>
                <w:rFonts w:ascii="宋体" w:hAnsi="宋体" w:cs="宋体"/>
                <w:color w:val="000000"/>
                <w:kern w:val="0"/>
                <w:sz w:val="22"/>
              </w:rPr>
            </w:pPr>
          </w:p>
        </w:tc>
      </w:tr>
      <w:tr w:rsidR="00AC6B16" w:rsidRPr="00ED3DB6" w:rsidTr="001A6D4D">
        <w:trPr>
          <w:trHeight w:val="540"/>
        </w:trPr>
        <w:tc>
          <w:tcPr>
            <w:tcW w:w="15110" w:type="dxa"/>
            <w:gridSpan w:val="9"/>
            <w:tcBorders>
              <w:top w:val="nil"/>
              <w:left w:val="nil"/>
              <w:bottom w:val="single" w:sz="4" w:space="0" w:color="auto"/>
              <w:right w:val="nil"/>
            </w:tcBorders>
            <w:shd w:val="clear" w:color="000000" w:fill="FFFFFF"/>
            <w:vAlign w:val="center"/>
          </w:tcPr>
          <w:p w:rsidR="00AC6B16" w:rsidRPr="00ED3DB6" w:rsidRDefault="00AC6B16" w:rsidP="001A6D4D">
            <w:pPr>
              <w:rPr>
                <w:rFonts w:ascii="方正小标宋简体" w:eastAsia="方正小标宋简体" w:hAnsi="宋体" w:cs="宋体" w:hint="eastAsia"/>
                <w:color w:val="000000"/>
                <w:kern w:val="0"/>
                <w:sz w:val="36"/>
                <w:szCs w:val="36"/>
              </w:rPr>
            </w:pPr>
            <w:r>
              <w:rPr>
                <w:rFonts w:ascii="方正小标宋_GBK" w:eastAsia="方正小标宋_GBK" w:hAnsi="宋体" w:cs="宋体" w:hint="eastAsia"/>
                <w:color w:val="000000"/>
                <w:kern w:val="0"/>
                <w:sz w:val="36"/>
                <w:szCs w:val="36"/>
              </w:rPr>
              <w:t xml:space="preserve">                          </w:t>
            </w:r>
            <w:r w:rsidRPr="00ED3DB6">
              <w:rPr>
                <w:rFonts w:ascii="方正小标宋简体" w:eastAsia="方正小标宋简体" w:hAnsi="宋体" w:cs="宋体" w:hint="eastAsia"/>
                <w:color w:val="000000"/>
                <w:kern w:val="0"/>
                <w:sz w:val="36"/>
                <w:szCs w:val="36"/>
              </w:rPr>
              <w:t xml:space="preserve"> 宁夏工伤保险辅助器具配置目录</w:t>
            </w:r>
          </w:p>
        </w:tc>
      </w:tr>
      <w:tr w:rsidR="00AC6B16" w:rsidRPr="0013437E" w:rsidTr="001A6D4D">
        <w:trPr>
          <w:trHeight w:val="24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辅具</w:t>
            </w:r>
          </w:p>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编号</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辅 具 名 称</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单位</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主要部件或材料要求</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功      能</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适  用  范  围</w:t>
            </w:r>
          </w:p>
        </w:tc>
        <w:tc>
          <w:tcPr>
            <w:tcW w:w="979"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最高支付</w:t>
            </w:r>
          </w:p>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限额（元）</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最低使用年限</w:t>
            </w:r>
          </w:p>
        </w:tc>
      </w:tr>
      <w:tr w:rsidR="00AC6B16" w:rsidRPr="0013437E" w:rsidTr="001A6D4D">
        <w:trPr>
          <w:trHeight w:val="343"/>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979"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rPr>
                <w:rFonts w:ascii="仿宋_GB2312" w:eastAsia="仿宋_GB2312" w:hAnsi="黑体" w:cs="宋体" w:hint="eastAsia"/>
                <w:color w:val="000000"/>
                <w:kern w:val="0"/>
                <w:sz w:val="18"/>
                <w:szCs w:val="18"/>
              </w:rPr>
            </w:pPr>
          </w:p>
        </w:tc>
      </w:tr>
      <w:tr w:rsidR="00AC6B16" w:rsidRPr="0013437E" w:rsidTr="001A6D4D">
        <w:trPr>
          <w:trHeight w:val="20"/>
        </w:trPr>
        <w:tc>
          <w:tcPr>
            <w:tcW w:w="15110"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AC6B16" w:rsidRPr="0013437E" w:rsidRDefault="00AC6B16" w:rsidP="001A6D4D">
            <w:pPr>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一、假    肢（23项）</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假手指</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硅胶，定制仿真手指</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弥补外观缺损</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适用于单个手指缺损者或多个手指缺损</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宋体" w:cs="宋体" w:hint="eastAsia"/>
                <w:color w:val="000000"/>
                <w:kern w:val="0"/>
                <w:sz w:val="18"/>
                <w:szCs w:val="18"/>
              </w:rPr>
            </w:pPr>
            <w:r w:rsidRPr="0013437E">
              <w:rPr>
                <w:rFonts w:ascii="仿宋_GB2312" w:eastAsia="仿宋_GB2312" w:hAnsi="宋体" w:cs="宋体" w:hint="eastAsia"/>
                <w:color w:val="000000"/>
                <w:kern w:val="0"/>
                <w:sz w:val="18"/>
                <w:szCs w:val="18"/>
              </w:rPr>
              <w:t>850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部分手假肢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硅胶，仿真定制，内带填充物</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弥补外观缺损、辅助持物</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 xml:space="preserve">适用于掌骨截肢  </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4500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装饰性腕离断假肢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装饰手或被动手、硅胶手套，定制接受腔</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弥补外观缺损、辅助持物等被动功能 </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 xml:space="preserve">适用于不选择穿戴功能性假肢的腕部截肢者  </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6500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索控式腕离断假肢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标准机械手、硅胶手套，定制双层接受腔及肩背带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自身力源，利用牵引索控制假手开、闭，能主动持物</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适用于腕关节离断或前臂长残肢的截肢者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腕离断肌电假肢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单自由度肌电手、硅胶手套，定制双层接受腔</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电动力源，肌电信号控制假手的开、闭</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适用于双侧截肢且残肢肌电信号达标的腕部或半掌截肢者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21000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装饰性前臂假肢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定制接受腔、腕关节、装饰手或被动手、硅胶手套</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弥补外观缺损、辅助持物等被动功能</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适用于不选择穿戴功能性假肢的前臂截肢者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7500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索控式前臂假肢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标准机械手、硅胶手套，被动式腕关节，定制接受腔及肩背带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自身力源，利用牵引索控制假手开、闭，腕关节可被动屈伸、旋转</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适用于前臂截肢者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9800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前臂肌电假肢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单自由度肌电手、硅胶手套，定制双层接受腔</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电动力源，肌电信号控制假手开、闭，腕关节被动屈曲或旋转</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适用于双侧截肢且肌电信号达标的前臂截肢者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21000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10009</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装饰性肘离断假肢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定制接受腔、装饰性假肢组件、装饰手或被动手、硅胶手套</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弥补外观缺损、辅助持物等被动功能</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适用于不选择穿戴功能性假肢的肘部、前臂极短残肢截肢者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10010</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索控式肘离断假肢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标准机械手、硅胶手套，铰链式肘关节，定制接受腔及肩背带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牵引索控制假手开、闭，肘关节被动屈、伸</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适用于肘关节离断或上臂残肢过长的、前臂极短残肢截肢者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14000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肘离断肌电假肢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单自由度肌电手、机械肘关节、硅胶手套，定制双层接受腔</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2870BF"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电动力源，肌电信号控制假手开、闭，腕关节被动屈曲或旋转，肘关节被动屈伸</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适用于双侧截肢且肌电信号达标的肘离断、前臂极短残肢截肢者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装饰性上臂假肢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全接触接受腔、装饰性假肢组件、装饰手或被动手、硅胶手套</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弥补外观缺损、辅助持物等被动功能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适用于不选择穿戴功能性假肢的上臂截肢者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索控式上臂假肢</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标准机械手、硅胶手套，机械肘关节，定制树脂接受腔及肩背带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牵引索控制假手开、闭和肘屈、伸功能</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适用上臂截肢者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14000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上臂肌电假肢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单自由度肌电手、机械肘关节、硅胶手</w:t>
            </w:r>
            <w:r w:rsidRPr="0013437E">
              <w:rPr>
                <w:rFonts w:ascii="仿宋_GB2312" w:eastAsia="仿宋_GB2312" w:hAnsi="仿宋" w:cs="宋体" w:hint="eastAsia"/>
                <w:color w:val="000000"/>
                <w:kern w:val="0"/>
                <w:sz w:val="18"/>
                <w:szCs w:val="18"/>
              </w:rPr>
              <w:lastRenderedPageBreak/>
              <w:t>套，定制双层接受腔</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lastRenderedPageBreak/>
              <w:t>电动力源，肌电信号控制假手开、闭，腕关</w:t>
            </w:r>
            <w:r w:rsidRPr="0013437E">
              <w:rPr>
                <w:rFonts w:ascii="仿宋_GB2312" w:eastAsia="仿宋_GB2312" w:hAnsi="仿宋" w:cs="宋体" w:hint="eastAsia"/>
                <w:color w:val="000000"/>
                <w:kern w:val="0"/>
                <w:sz w:val="18"/>
                <w:szCs w:val="18"/>
              </w:rPr>
              <w:lastRenderedPageBreak/>
              <w:t>节被动屈曲或旋转，肘关节被动屈伸</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lastRenderedPageBreak/>
              <w:t>适用于双侧截肢且肌电信号达标的</w:t>
            </w:r>
            <w:r w:rsidRPr="002870BF">
              <w:rPr>
                <w:rFonts w:ascii="仿宋_GB2312" w:eastAsia="仿宋_GB2312" w:hAnsi="仿宋" w:cs="宋体" w:hint="eastAsia"/>
                <w:color w:val="000000"/>
                <w:kern w:val="0"/>
                <w:sz w:val="18"/>
                <w:szCs w:val="18"/>
              </w:rPr>
              <w:lastRenderedPageBreak/>
              <w:t>上臂截肢者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lastRenderedPageBreak/>
              <w:t>33000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装饰性肩离断假肢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骨骼式装饰性假肢组件，硅胶手套</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弥补外观缺损、具有被动开、闭手和屈、伸肘功能，肩关节自由摆动</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适用于肩关节离断或上臂残肢过短的截肢者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14000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部分足假肢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定制硅胶制作足套式假半脚</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补缺并改善行走功能</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适用于跗骨近端截肢者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7300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赛姆假肢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定制接受腔、低踝假脚</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代偿行走和站立功能</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适用于踝部截肢、赛姆截肢或小腿残肢过长的截肢者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16000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组件式小腿假肢</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定制接受腔、根据残肢部位皮肤和身体功能经评估后，选择适宜内衬、关节及假脚 </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代偿行走和站立功能</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适用于小腿截肢者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14000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10019</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组件式膝离断假肢</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机械式</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定制接受腔、根据残肢部位皮肤和身体功能经评估后，选择内衬、关节及假脚 </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适用于膝关节离断、小腿极短残肢截肢者</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适用于膝关节离断、小腿极短残肢截肢者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22000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气压式</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10020</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组件式大腿假肢</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机械式</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定制接受腔、根据残肢部位皮肤和身体功能经评估后，选择内衬、关节及假脚 </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适用于大腿截肢者</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适用于大腿截肢者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气压式</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24000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10021</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组件式髋离断假肢</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机械式</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定制接受腔、根据残肢部位皮肤和身体功能经评估后，选择内衬、关节及假脚 </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适用于髋关节离断或大腿残肢过短的截肢者</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适用于髋关节离断或大腿残肢过短的截肢者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32000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气压式</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10022</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大小腿假肢硅凝胶套</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大腿凝胶套</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带增强织物凝胶套或硅胶残肢套</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适用于大面积植皮、皮肤粘连、疤痕皮质、糖尿病、脉管炎、大小腿极短残肢的截肢者</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适用于大面积植皮、皮肤粘连、疤痕皮质、糖尿病、脉管炎、大小腿极短残肢的截肢者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6100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小腿凝胶套</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大腿硅胶套</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6400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小腿硅胶套</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10023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大小腿假肢硅凝胶套锁具</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套</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锁住带锁具的硅凝胶套，实现硅凝胶套的悬吊作用</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2870BF">
              <w:rPr>
                <w:rFonts w:ascii="仿宋_GB2312" w:eastAsia="仿宋_GB2312" w:hAnsi="仿宋" w:cs="宋体" w:hint="eastAsia"/>
                <w:color w:val="000000"/>
                <w:kern w:val="0"/>
                <w:sz w:val="18"/>
                <w:szCs w:val="18"/>
              </w:rPr>
              <w:t>适用于大面积植皮、皮肤粘连、疤痕皮质、糖尿病、脉管炎、大小腿极短残肢的截肢者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3300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1511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黑体" w:cs="宋体" w:hint="eastAsia"/>
                <w:color w:val="000000"/>
                <w:kern w:val="0"/>
                <w:sz w:val="18"/>
                <w:szCs w:val="18"/>
              </w:rPr>
            </w:pPr>
            <w:r w:rsidRPr="0013437E">
              <w:rPr>
                <w:rFonts w:ascii="仿宋_GB2312" w:eastAsia="仿宋_GB2312" w:hAnsi="黑体" w:cs="宋体" w:hint="eastAsia"/>
                <w:color w:val="000000"/>
                <w:kern w:val="0"/>
                <w:sz w:val="18"/>
                <w:szCs w:val="18"/>
              </w:rPr>
              <w:t>二、矫 形 器（23项）</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静态型手指矫形器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聚乙烯高温板材、低温板材、金属或织物</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单指或五指的矫正（含展开指蹼）与固定</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适用于指骨骨折及韧带损伤术后固定</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220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305"/>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动态型手指矫形器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聚乙烯板材、金属条、弹性装置</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手指畸形矫正及手指功能恢复锻炼</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适用于并指畸形，矫正手指槌状、鹅颈、扣眼等畸形及术后</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640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静态型掌指矫形器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聚乙烯高温板材、低温板材、金属或织物</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掌指关节固定保护</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0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适用于指骨近节骨折及术后固定</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640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动态型掌指矫形器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热塑板材、金属条、弹性装置</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手指展开及手指功能恢复锻炼</w:t>
            </w:r>
          </w:p>
        </w:tc>
        <w:tc>
          <w:tcPr>
            <w:tcW w:w="2977" w:type="dxa"/>
            <w:tcBorders>
              <w:top w:val="nil"/>
              <w:left w:val="nil"/>
              <w:bottom w:val="single" w:sz="4" w:space="0" w:color="auto"/>
              <w:right w:val="single" w:sz="4" w:space="0" w:color="auto"/>
            </w:tcBorders>
            <w:shd w:val="clear" w:color="000000" w:fill="FFFFFF"/>
            <w:vAlign w:val="center"/>
          </w:tcPr>
          <w:p w:rsidR="00AC6B16" w:rsidRPr="005174A9" w:rsidRDefault="00AC6B16" w:rsidP="001A6D4D">
            <w:pPr>
              <w:spacing w:line="200" w:lineRule="exact"/>
              <w:rPr>
                <w:rFonts w:ascii="仿宋_GB2312" w:eastAsia="仿宋_GB2312" w:hAnsi="仿宋" w:cs="宋体" w:hint="eastAsia"/>
                <w:color w:val="000000"/>
                <w:spacing w:val="-4"/>
                <w:kern w:val="0"/>
                <w:sz w:val="18"/>
                <w:szCs w:val="18"/>
              </w:rPr>
            </w:pPr>
            <w:r w:rsidRPr="005174A9">
              <w:rPr>
                <w:rFonts w:ascii="仿宋_GB2312" w:eastAsia="仿宋_GB2312" w:hAnsi="仿宋" w:cs="宋体" w:hint="eastAsia"/>
                <w:color w:val="000000"/>
                <w:spacing w:val="-4"/>
                <w:kern w:val="0"/>
                <w:sz w:val="18"/>
                <w:szCs w:val="18"/>
              </w:rPr>
              <w:t>适用于指骨近节骨折、手指挛缩畸形、尺神经、正中神经麻痹引起手指内在肌的麻痹及术后功能恢复锻炼</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静态型腕手矫形器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热塑板材，固定带</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腕部损伤固定，保持功能位或中立位</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5174A9" w:rsidRDefault="00AC6B16" w:rsidP="001A6D4D">
            <w:pPr>
              <w:spacing w:line="240" w:lineRule="exact"/>
              <w:rPr>
                <w:rFonts w:ascii="仿宋_GB2312" w:eastAsia="仿宋_GB2312" w:hAnsi="仿宋" w:cs="宋体" w:hint="eastAsia"/>
                <w:color w:val="000000"/>
                <w:spacing w:val="-4"/>
                <w:kern w:val="0"/>
                <w:sz w:val="18"/>
                <w:szCs w:val="18"/>
              </w:rPr>
            </w:pPr>
            <w:r w:rsidRPr="005174A9">
              <w:rPr>
                <w:rFonts w:ascii="仿宋_GB2312" w:eastAsia="仿宋_GB2312" w:hAnsi="仿宋" w:cs="宋体" w:hint="eastAsia"/>
                <w:color w:val="000000"/>
                <w:spacing w:val="-4"/>
                <w:kern w:val="0"/>
                <w:sz w:val="18"/>
                <w:szCs w:val="18"/>
              </w:rPr>
              <w:t>适用于腕部骨折、单纯性脱位及术后</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800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lastRenderedPageBreak/>
              <w:t>20006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动态型腕手矫形器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热塑板材，金属条，弹性装置</w:t>
            </w:r>
          </w:p>
        </w:tc>
        <w:tc>
          <w:tcPr>
            <w:tcW w:w="3565" w:type="dxa"/>
            <w:tcBorders>
              <w:top w:val="nil"/>
              <w:left w:val="nil"/>
              <w:bottom w:val="single" w:sz="4" w:space="0" w:color="auto"/>
              <w:right w:val="single" w:sz="4" w:space="0" w:color="auto"/>
            </w:tcBorders>
            <w:shd w:val="clear" w:color="000000" w:fill="FFFFFF"/>
            <w:vAlign w:val="center"/>
          </w:tcPr>
          <w:p w:rsidR="00AC6B16" w:rsidRPr="00242BED" w:rsidRDefault="00AC6B16" w:rsidP="001A6D4D">
            <w:pPr>
              <w:spacing w:line="240" w:lineRule="exact"/>
              <w:rPr>
                <w:rFonts w:ascii="仿宋_GB2312" w:eastAsia="仿宋_GB2312" w:hAnsi="仿宋" w:cs="宋体" w:hint="eastAsia"/>
                <w:color w:val="000000"/>
                <w:spacing w:val="-12"/>
                <w:kern w:val="0"/>
                <w:sz w:val="18"/>
                <w:szCs w:val="18"/>
              </w:rPr>
            </w:pPr>
            <w:r w:rsidRPr="00242BED">
              <w:rPr>
                <w:rFonts w:ascii="仿宋_GB2312" w:eastAsia="仿宋_GB2312" w:hAnsi="仿宋" w:cs="宋体" w:hint="eastAsia"/>
                <w:color w:val="000000"/>
                <w:spacing w:val="-12"/>
                <w:kern w:val="0"/>
                <w:sz w:val="18"/>
                <w:szCs w:val="18"/>
              </w:rPr>
              <w:t>辅助掌指关节与拇指的伸展，功能恢复与锻炼</w:t>
            </w:r>
          </w:p>
        </w:tc>
        <w:tc>
          <w:tcPr>
            <w:tcW w:w="2977" w:type="dxa"/>
            <w:tcBorders>
              <w:top w:val="nil"/>
              <w:left w:val="nil"/>
              <w:bottom w:val="single" w:sz="4" w:space="0" w:color="auto"/>
              <w:right w:val="single" w:sz="4" w:space="0" w:color="auto"/>
            </w:tcBorders>
            <w:shd w:val="clear" w:color="000000" w:fill="FFFFFF"/>
            <w:vAlign w:val="center"/>
          </w:tcPr>
          <w:p w:rsidR="00AC6B16" w:rsidRPr="005174A9" w:rsidRDefault="00AC6B16" w:rsidP="001A6D4D">
            <w:pPr>
              <w:spacing w:line="240" w:lineRule="exact"/>
              <w:rPr>
                <w:rFonts w:ascii="仿宋_GB2312" w:eastAsia="仿宋_GB2312" w:hAnsi="仿宋" w:cs="宋体" w:hint="eastAsia"/>
                <w:color w:val="000000"/>
                <w:spacing w:val="-4"/>
                <w:kern w:val="0"/>
                <w:sz w:val="18"/>
                <w:szCs w:val="18"/>
              </w:rPr>
            </w:pPr>
            <w:r w:rsidRPr="005174A9">
              <w:rPr>
                <w:rFonts w:ascii="仿宋_GB2312" w:eastAsia="仿宋_GB2312" w:hAnsi="仿宋" w:cs="宋体" w:hint="eastAsia"/>
                <w:color w:val="000000"/>
                <w:spacing w:val="-4"/>
                <w:kern w:val="0"/>
                <w:sz w:val="18"/>
                <w:szCs w:val="18"/>
              </w:rPr>
              <w:t>适用于桡神经损伤及术后的功能恢复</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1300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前臂（肘腕手）矫形器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聚乙烯高温板材或低温板材，可以带或不带肘关节铰链</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限制前臂旋前旋后，前臂保护固定</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适用于前臂骨折及术后</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1300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上臂（肩肘）矫形器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热塑板材，可以带或不带肩关节、肘关节铰链</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上臂固定  </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适用于上臂骨折及术后  </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1600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20009</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肩外展矫形器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成品，热塑板,泡沫衬材，金属件</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肩关节及肱骨固定（可调式）</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适用于肩关节及肱骨骨折、肩棘韧带损伤、臂丛神经损伤及术后固定  </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2300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20010</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颈托</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成品，EVA泡沫塑料</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减轻颈椎的负荷，控制颈椎活动</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242BED" w:rsidRDefault="00AC6B16" w:rsidP="001A6D4D">
            <w:pPr>
              <w:spacing w:line="240" w:lineRule="exact"/>
              <w:rPr>
                <w:rFonts w:ascii="仿宋_GB2312" w:eastAsia="仿宋_GB2312" w:hAnsi="仿宋" w:cs="宋体" w:hint="eastAsia"/>
                <w:color w:val="000000"/>
                <w:spacing w:val="-10"/>
                <w:kern w:val="0"/>
                <w:sz w:val="18"/>
                <w:szCs w:val="18"/>
              </w:rPr>
            </w:pPr>
            <w:r w:rsidRPr="00242BED">
              <w:rPr>
                <w:rFonts w:ascii="仿宋_GB2312" w:eastAsia="仿宋_GB2312" w:hAnsi="仿宋" w:cs="宋体" w:hint="eastAsia"/>
                <w:color w:val="000000"/>
                <w:spacing w:val="-10"/>
                <w:kern w:val="0"/>
                <w:sz w:val="18"/>
                <w:szCs w:val="18"/>
              </w:rPr>
              <w:t>适用于颈椎病或颈椎轻度损伤及术后</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540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颈胸矫形器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起支撑、固定、减荷、保护、矫正的作用</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适用于颈椎单纯性脱位、损伤术后</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2100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胸腰骶矫形器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起支撑、固定、减荷、保护、矫正的作用</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适用于胸腰椎损伤的康复和术后</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脊柱过伸矫形器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金属支条或高强度热塑板材，框架式结构</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控制或矫正胸腰椎后凸畸形</w:t>
            </w:r>
          </w:p>
        </w:tc>
        <w:tc>
          <w:tcPr>
            <w:tcW w:w="2977" w:type="dxa"/>
            <w:tcBorders>
              <w:top w:val="nil"/>
              <w:left w:val="nil"/>
              <w:bottom w:val="single" w:sz="4" w:space="0" w:color="auto"/>
              <w:right w:val="single" w:sz="4" w:space="0" w:color="auto"/>
            </w:tcBorders>
            <w:shd w:val="clear" w:color="000000" w:fill="FFFFFF"/>
            <w:vAlign w:val="center"/>
          </w:tcPr>
          <w:p w:rsidR="00AC6B16" w:rsidRPr="00242BED" w:rsidRDefault="00AC6B16" w:rsidP="001A6D4D">
            <w:pPr>
              <w:spacing w:line="220" w:lineRule="exact"/>
              <w:rPr>
                <w:rFonts w:ascii="仿宋_GB2312" w:eastAsia="仿宋_GB2312" w:hAnsi="仿宋" w:cs="宋体" w:hint="eastAsia"/>
                <w:color w:val="000000"/>
                <w:spacing w:val="-6"/>
                <w:kern w:val="0"/>
                <w:sz w:val="18"/>
                <w:szCs w:val="18"/>
              </w:rPr>
            </w:pPr>
            <w:r w:rsidRPr="00242BED">
              <w:rPr>
                <w:rFonts w:ascii="仿宋_GB2312" w:eastAsia="仿宋_GB2312" w:hAnsi="仿宋" w:cs="宋体" w:hint="eastAsia"/>
                <w:color w:val="000000"/>
                <w:spacing w:val="-6"/>
                <w:kern w:val="0"/>
                <w:sz w:val="18"/>
                <w:szCs w:val="18"/>
              </w:rPr>
              <w:t>适用于腰椎和低位胸椎压缩性骨折的保守治疗或术后固定，胸腰椎后凸畸形及术后，老年人的退行性病变</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硬性围腰</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背部采用半硬性塑料制成的框架式背托，腹部采用宽大的软垫式腹压垫，两侧采用弹性束紧带</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加强胸腰部支撑，稳定脊柱；增强腹压，减轻脊柱负担</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适用于胸腰部软组织损伤、椎间盘突出、轻度滑脱等，腰椎轻度骨性损伤的保守治疗及术后固定 </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800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弹性围腰</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成品，弹性针织材料</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增强腹压以减轻腰骶椎负担，对腰椎起支撑、保护作用</w:t>
            </w:r>
          </w:p>
        </w:tc>
        <w:tc>
          <w:tcPr>
            <w:tcW w:w="2977" w:type="dxa"/>
            <w:tcBorders>
              <w:top w:val="nil"/>
              <w:left w:val="nil"/>
              <w:bottom w:val="single" w:sz="4" w:space="0" w:color="auto"/>
              <w:right w:val="single" w:sz="4" w:space="0" w:color="auto"/>
            </w:tcBorders>
            <w:shd w:val="clear" w:color="000000" w:fill="FFFFFF"/>
            <w:vAlign w:val="center"/>
          </w:tcPr>
          <w:p w:rsidR="00AC6B16" w:rsidRPr="00242BED" w:rsidRDefault="00AC6B16" w:rsidP="001A6D4D">
            <w:pPr>
              <w:spacing w:line="220" w:lineRule="exact"/>
              <w:rPr>
                <w:rFonts w:ascii="仿宋_GB2312" w:eastAsia="仿宋_GB2312" w:hAnsi="仿宋" w:cs="宋体" w:hint="eastAsia"/>
                <w:color w:val="000000"/>
                <w:spacing w:val="-6"/>
                <w:kern w:val="0"/>
                <w:sz w:val="18"/>
                <w:szCs w:val="18"/>
              </w:rPr>
            </w:pPr>
            <w:r w:rsidRPr="00242BED">
              <w:rPr>
                <w:rFonts w:ascii="仿宋_GB2312" w:eastAsia="仿宋_GB2312" w:hAnsi="仿宋" w:cs="宋体" w:hint="eastAsia"/>
                <w:color w:val="000000"/>
                <w:spacing w:val="-6"/>
                <w:kern w:val="0"/>
                <w:sz w:val="18"/>
                <w:szCs w:val="18"/>
              </w:rPr>
              <w:t>适用于腰骶部软组织损伤、腰肌劳损、 腰椎间盘突出等引起的疼痛，以及软骨骨性损伤的预防和保守治疗</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470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20016</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矫形鞋</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w:t>
            </w:r>
          </w:p>
        </w:tc>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双</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定制，牛皮</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补高或补缺或矫治</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适用于下肢不等长及足部缺损、畸形  </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棉</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1100</w:t>
            </w: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支架矫正</w:t>
            </w:r>
          </w:p>
        </w:tc>
        <w:tc>
          <w:tcPr>
            <w:tcW w:w="568"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定制，牛皮，双侧压簧支条</w:t>
            </w: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2900</w:t>
            </w: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固定式踝足矫形器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成品，由热塑板制成（泡沫软衬）带拉带和固定带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将踝关节固定在功能位，稳定和保护踝关节</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适用于踝足损伤，卧床病人预防足下垂及跟腱挛缩</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功能式踝足矫形器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热塑板材定制或由踝铰链支条等构成</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限制踝关节运动，矫正足内、外翻，保持足内外侧的稳定</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适用于矫治足下垂、足内外翻、足内外旋及踝关节不稳定等</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1200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20019</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免荷式踝足矫形器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定制，热塑板材，髌韧带承重式</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限制踝关节活动，减轻足部和小腿负重</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适用于小腿外伤、胫腓骨远端骨折及术后</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2200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20020</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膝踝足矫形器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具</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定制，热塑板材，铝合金或不锈钢支条</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固定膝关节、踝关节或矫正畸形</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适用于大腿、小腿骨折或神经损伤及术前、术后</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3300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20021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膝矫形器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固定下肢，矫正畸形，帮助恢复膝关节功能</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适用于大腿、小腿骨折或神经韧带损伤及畸形和术后</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20022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髋膝踝足免荷式矫形器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定制，热塑板材，金属支条，由腰骶矫形器和大腿矫形器用髋铰链连接组成</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用坐骨支撑体重，腰骶部辅助固定</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适用于大腿骨折、下肢肌力比较弱，大腿、小腿骨折或神经损伤及术前、术后需要坐骨负重的</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6100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lastRenderedPageBreak/>
              <w:t>20023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截瘫行走矫形器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副</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定制，热塑板材，机械组件</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帮助截瘫病人站立或近距离行走</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适用于第四胸椎以下截瘫，上肢功能良好的伤残者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36000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1511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黑体" w:cs="宋体" w:hint="eastAsia"/>
                <w:color w:val="000000"/>
                <w:kern w:val="0"/>
                <w:sz w:val="18"/>
                <w:szCs w:val="18"/>
              </w:rPr>
              <w:t>三、生活类辅助器具（19项）</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防褥疮床垫</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内胆为橡塑气道型：双通道自动程控气囊换气，具有压力调节旋钮；全包覆式床罩，采用PVC面料或其它具有良好的防水透气性和吸湿功能的材质，且不产生滑动</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增加接触面积和分散压力，可每天24小时连续使用</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适用于长期卧床的重度伤残者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2400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防褥疮坐（靠）垫</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内胆包括橡塑气囊，硅胶或凝胶，外材料具有防水、防霉、抗菌性能，坐垫与轮椅适配</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增加接触面积和分散压力</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适用于需长时间乘坐轮椅者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1000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坐便椅</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铝合金材料，坐便部分为塑料材质，并配有可拆卸坐垫和马桶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辅助如厕，可折叠、可调节高度</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适用于行动不便者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420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腋杖</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副</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木质、不锈钢或铝合金材质</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可调节高度，减轻下肢承重，获得辅助支撑力，提高行走的稳定性</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适用于下肢支撑能力较差的伤残者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210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肘杖</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铝合金材料，可调节高度；肘托为塑料材质</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减轻下肢和腋下承重，获得辅助支撑力，提高行走的稳定性</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适用于下肢支撑能力较差的伤残者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180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手杖</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铝合金材料，可调节高度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提高行走的稳定性</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适用于平衡能力较差者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130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框式助行器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铝合金材质</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稳定性优于各类拐杖，适合下肢伤残者辅助行走</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适用于平衡能力较差的下肢伤残者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470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轮式助行器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铝合金材质</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稳定性优于各类拐杖，适合下肢伤残者辅助行走</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适用于平衡能力较好的下肢伤残者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640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30009</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普通轮椅</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辆</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铝合金车架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代偿步行</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适用于具备自行站立功能，但需借助轮椅代步的伤残者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1100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30010</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坐便轮椅</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辆</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铝合金车架、硬座，带坐便桶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代偿步行及如厕</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适用于长期借助轮椅代步的重度伤残者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1300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高靠背轮椅</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辆</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铝合金车架，配备头枕、身体固定带、腿托等配件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代偿步行，靠背可在全躺位、半躺位、直立之间调整</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适用于需较长时间借助轮椅活动的重度伤残者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1700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电动轮椅</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辆</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主要部件采用金属材料，强度、耐用性和安全性符合通用的国家标准</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以蓄电池为能源、直流 驱动；适合在道路上远距离行驶，每次充电后可行驶40公里</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适用于腕手功能和操作意识正常的高位截瘫者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5★</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手摇三轮车</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辆</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包括双手前摇和单手平摇两种方式操控三轮车，设有倒档，车架为钢质</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由使用者依靠自身力量手动驱动</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适用于下肢残疾但上肢健全具有相应体力的伤残者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1700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30014</w:t>
            </w:r>
          </w:p>
        </w:tc>
        <w:tc>
          <w:tcPr>
            <w:tcW w:w="2073" w:type="dxa"/>
            <w:gridSpan w:val="2"/>
            <w:vMerge w:val="restart"/>
            <w:tcBorders>
              <w:top w:val="single" w:sz="4" w:space="0" w:color="auto"/>
              <w:left w:val="nil"/>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盲杖</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成品，塑料，碳纤或金属等</w:t>
            </w:r>
          </w:p>
        </w:tc>
        <w:tc>
          <w:tcPr>
            <w:tcW w:w="3565" w:type="dxa"/>
            <w:vMerge w:val="restart"/>
            <w:tcBorders>
              <w:top w:val="nil"/>
              <w:left w:val="nil"/>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辅助行走</w:t>
            </w:r>
          </w:p>
        </w:tc>
        <w:tc>
          <w:tcPr>
            <w:tcW w:w="2977" w:type="dxa"/>
            <w:vMerge w:val="restart"/>
            <w:tcBorders>
              <w:top w:val="nil"/>
              <w:left w:val="nil"/>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适用于盲人</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150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tcBorders>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2073" w:type="dxa"/>
            <w:gridSpan w:val="2"/>
            <w:vMerge/>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感应盲杖</w:t>
            </w:r>
          </w:p>
        </w:tc>
        <w:tc>
          <w:tcPr>
            <w:tcW w:w="3565" w:type="dxa"/>
            <w:vMerge/>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2977" w:type="dxa"/>
            <w:vMerge/>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1500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移位滑垫</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织物</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帮助重度以上肢体残疾人实现移位</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长期乘坐轮椅并有自主移位需求的</w:t>
            </w:r>
            <w:r w:rsidRPr="0013437E">
              <w:rPr>
                <w:rFonts w:ascii="仿宋_GB2312" w:eastAsia="仿宋_GB2312" w:hAnsi="仿宋" w:hint="eastAsia"/>
                <w:color w:val="000000"/>
                <w:sz w:val="18"/>
                <w:szCs w:val="18"/>
              </w:rPr>
              <w:lastRenderedPageBreak/>
              <w:t>残疾人</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lastRenderedPageBreak/>
              <w:t>800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洗浴椅/凳</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个</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铝合金结构、PE塑料面板</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减轻沐浴劳累，方便起立、坐下</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有洗浴困难的肢体残疾者</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移乘板</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件</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塑钢</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辅助从床、轮椅等位置安全转移</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上肢功能正常，下肢功能障碍且长期使用轮椅的残疾人</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500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体位垫</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织物、填充物为海绵</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帮助长期卧床的残疾人保持在功能位</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长期卧床的肢体残疾人</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400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2</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30019</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电动移位机</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台</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塑料与钢制混合结构、尼龙吊带</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使用者可借助其方便患者移位</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pacing w:val="-10"/>
                <w:sz w:val="18"/>
                <w:szCs w:val="18"/>
              </w:rPr>
            </w:pPr>
            <w:r w:rsidRPr="0013437E">
              <w:rPr>
                <w:rFonts w:ascii="仿宋_GB2312" w:eastAsia="仿宋_GB2312" w:hAnsi="仿宋" w:hint="eastAsia"/>
                <w:color w:val="000000"/>
                <w:spacing w:val="-10"/>
                <w:sz w:val="18"/>
                <w:szCs w:val="18"/>
              </w:rPr>
              <w:t>长期卧床并有自主移位需求的残疾人</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13000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w:t>
            </w:r>
            <w:r w:rsidRPr="0013437E">
              <w:rPr>
                <w:rFonts w:ascii="仿宋_GB2312" w:eastAsia="仿宋_GB2312" w:hAnsi="仿宋" w:cs="宋体" w:hint="eastAsia"/>
                <w:color w:val="000000"/>
                <w:kern w:val="0"/>
                <w:sz w:val="18"/>
                <w:szCs w:val="18"/>
              </w:rPr>
              <w:t>★</w:t>
            </w:r>
          </w:p>
        </w:tc>
      </w:tr>
      <w:tr w:rsidR="00AC6B16" w:rsidRPr="0013437E" w:rsidTr="001A6D4D">
        <w:trPr>
          <w:trHeight w:val="20"/>
        </w:trPr>
        <w:tc>
          <w:tcPr>
            <w:tcW w:w="1511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黑体" w:cs="宋体" w:hint="eastAsia"/>
                <w:color w:val="000000"/>
                <w:kern w:val="0"/>
                <w:sz w:val="18"/>
                <w:szCs w:val="18"/>
              </w:rPr>
              <w:t>四、其他辅助器具（15项）</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耳背式助听器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台</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电子产品，综合材料</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用于听力伤残人员补偿听力</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适用于听力损失大于90 dB（HL)的听力伤残人员</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3000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w:t>
            </w:r>
          </w:p>
        </w:tc>
      </w:tr>
      <w:tr w:rsidR="00AC6B16" w:rsidRPr="0013437E" w:rsidTr="001A6D4D">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耳内式助听器</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台</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电子产品，综合材料</w:t>
            </w:r>
          </w:p>
        </w:tc>
        <w:tc>
          <w:tcPr>
            <w:tcW w:w="3565"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用于听力伤残人员补偿听力</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适用于听力损失小于90dB（HL)的听力伤残人员</w:t>
            </w:r>
          </w:p>
        </w:tc>
        <w:tc>
          <w:tcPr>
            <w:tcW w:w="979"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4400</w:t>
            </w:r>
          </w:p>
        </w:tc>
        <w:tc>
          <w:tcPr>
            <w:tcW w:w="797" w:type="dxa"/>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40003</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耳道式助听器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台</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电子产品，综合材料</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用于听力残疾人补偿听力</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适用于听力损失小于81dB（HL)的听力伤残人员</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6200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6</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40004</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光学助视器</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眼镜式或台式，光学镜片</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放大功能，放大倍数固定</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适用于低视力者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800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假眼</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定制，新型高分子材料</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弥补眼球缺陷</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适用于眼球缺损者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2400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40006</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假鼻</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定制，硅胶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弥补鼻部缺陷</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适用于鼻部缺损者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2600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40007</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假耳</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定制，硅胶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弥补耳部缺陷</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适用于耳部缺损者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2700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40008</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假乳房</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成品，硅胶</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弥补乳房缺陷</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适用于乳房缺损者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1600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40009</w:t>
            </w:r>
          </w:p>
        </w:tc>
        <w:tc>
          <w:tcPr>
            <w:tcW w:w="79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假发</w:t>
            </w: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男性</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ind w:firstLineChars="50" w:firstLine="90"/>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 xml:space="preserve"> 人造假发</w:t>
            </w:r>
          </w:p>
        </w:tc>
        <w:tc>
          <w:tcPr>
            <w:tcW w:w="3565"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弥补缺发或无发缺陷</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适用头部毛发的1/4以上或1/3以上缺失</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870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女性</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只</w:t>
            </w:r>
          </w:p>
        </w:tc>
        <w:tc>
          <w:tcPr>
            <w:tcW w:w="3260"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3565"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940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40010</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全口假牙</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件</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复合树脂牙、塑料基托（甲基丙烯酸甲酯）、铸造金属基托（钴铬合金、钛）</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代替缺失牙齿及相关组织，恢复咀嚼、发音、美观功能，需摘下清洗</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适用于上颌或下颌牙齿的全部缺失者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5200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40011</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半口假牙</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件</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复合树脂牙、塑料基托（甲基丙烯酸甲酯）、金属弯制卡环 铸造金属基托及卡环（钴铬合金、钛）</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代替缺失牙齿及相关组织，恢复咀嚼、发音、美观功能，需摘下清洗</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适用于上颌或下颌牙列从缺失一颗牙齿到仅剩一颗牙齿</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单颗不超过500，累计不超过3400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40012</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定制式义齿</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颗</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shd w:val="pct10" w:color="auto" w:fill="FFFFFF"/>
              </w:rPr>
            </w:pPr>
            <w:r w:rsidRPr="0013437E">
              <w:rPr>
                <w:rFonts w:ascii="仿宋_GB2312" w:eastAsia="仿宋_GB2312" w:hAnsi="仿宋" w:cs="宋体" w:hint="eastAsia"/>
                <w:color w:val="000000"/>
                <w:kern w:val="0"/>
                <w:sz w:val="18"/>
                <w:szCs w:val="18"/>
              </w:rPr>
              <w:t>不限</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代替缺失牙齿及相关组织，恢复咀嚼、发音、美观功能，不需摘下清洗</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适用于上颌或下颌牙齿缺失6颗及以下者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500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w:t>
            </w:r>
          </w:p>
        </w:tc>
      </w:tr>
      <w:tr w:rsidR="00AC6B16" w:rsidRPr="0013437E" w:rsidTr="001A6D4D">
        <w:trPr>
          <w:trHeight w:val="20"/>
        </w:trPr>
        <w:tc>
          <w:tcPr>
            <w:tcW w:w="891" w:type="dxa"/>
            <w:tcBorders>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40013</w:t>
            </w:r>
          </w:p>
        </w:tc>
        <w:tc>
          <w:tcPr>
            <w:tcW w:w="2073" w:type="dxa"/>
            <w:gridSpan w:val="2"/>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小腿静脉曲张袜</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双</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织物，成品</w:t>
            </w:r>
          </w:p>
        </w:tc>
        <w:tc>
          <w:tcPr>
            <w:tcW w:w="3565" w:type="dxa"/>
            <w:vMerge w:val="restart"/>
            <w:tcBorders>
              <w:left w:val="nil"/>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消除由静脉曲张、下肢静脉血液回流障碍引起的肿胀，酸痛</w:t>
            </w:r>
          </w:p>
        </w:tc>
        <w:tc>
          <w:tcPr>
            <w:tcW w:w="2977" w:type="dxa"/>
            <w:vMerge w:val="restart"/>
            <w:tcBorders>
              <w:left w:val="nil"/>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适用于下肢静脉血栓者</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380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40014</w:t>
            </w:r>
          </w:p>
        </w:tc>
        <w:tc>
          <w:tcPr>
            <w:tcW w:w="2073" w:type="dxa"/>
            <w:gridSpan w:val="2"/>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大腿静脉曲张袜</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双</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织物，成品</w:t>
            </w:r>
          </w:p>
        </w:tc>
        <w:tc>
          <w:tcPr>
            <w:tcW w:w="3565" w:type="dxa"/>
            <w:vMerge/>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2977" w:type="dxa"/>
            <w:vMerge/>
            <w:tcBorders>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cs="宋体" w:hint="eastAsia"/>
                <w:color w:val="000000"/>
                <w:kern w:val="0"/>
                <w:sz w:val="18"/>
                <w:szCs w:val="18"/>
              </w:rPr>
            </w:pP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490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1</w:t>
            </w:r>
          </w:p>
        </w:tc>
      </w:tr>
      <w:tr w:rsidR="00AC6B16" w:rsidRPr="0013437E" w:rsidTr="001A6D4D">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tcPr>
          <w:p w:rsidR="00AC6B16" w:rsidRPr="0013437E" w:rsidRDefault="00AC6B16" w:rsidP="001A6D4D">
            <w:pPr>
              <w:spacing w:line="240" w:lineRule="exact"/>
              <w:jc w:val="center"/>
              <w:rPr>
                <w:rFonts w:ascii="仿宋_GB2312" w:eastAsia="仿宋_GB2312" w:hAnsi="仿宋" w:cs="宋体" w:hint="eastAsia"/>
                <w:color w:val="000000"/>
                <w:kern w:val="0"/>
                <w:sz w:val="18"/>
                <w:szCs w:val="18"/>
              </w:rPr>
            </w:pPr>
            <w:r w:rsidRPr="0013437E">
              <w:rPr>
                <w:rFonts w:ascii="仿宋_GB2312" w:eastAsia="仿宋_GB2312" w:hAnsi="仿宋" w:cs="宋体" w:hint="eastAsia"/>
                <w:color w:val="000000"/>
                <w:kern w:val="0"/>
                <w:sz w:val="18"/>
                <w:szCs w:val="18"/>
              </w:rPr>
              <w:t>40015</w:t>
            </w:r>
          </w:p>
        </w:tc>
        <w:tc>
          <w:tcPr>
            <w:tcW w:w="2073" w:type="dxa"/>
            <w:gridSpan w:val="2"/>
            <w:tcBorders>
              <w:top w:val="single" w:sz="4" w:space="0" w:color="auto"/>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sz w:val="18"/>
                <w:szCs w:val="18"/>
              </w:rPr>
            </w:pPr>
            <w:r w:rsidRPr="0013437E">
              <w:rPr>
                <w:rFonts w:ascii="仿宋_GB2312" w:eastAsia="仿宋_GB2312" w:hAnsi="仿宋" w:hint="eastAsia"/>
                <w:sz w:val="18"/>
                <w:szCs w:val="18"/>
              </w:rPr>
              <w:t>制氧机</w:t>
            </w:r>
          </w:p>
        </w:tc>
        <w:tc>
          <w:tcPr>
            <w:tcW w:w="568"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台</w:t>
            </w:r>
          </w:p>
        </w:tc>
        <w:tc>
          <w:tcPr>
            <w:tcW w:w="3260"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无</w:t>
            </w:r>
          </w:p>
        </w:tc>
        <w:tc>
          <w:tcPr>
            <w:tcW w:w="3565"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4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改善尘肺以及其他因工伤原因导致肺功能受到损害、呼吸困难需要长期吸氧的工伤职工的生活质量</w:t>
            </w:r>
          </w:p>
        </w:tc>
        <w:tc>
          <w:tcPr>
            <w:tcW w:w="297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spacing w:line="22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①尘肺病患者静息呼吸室内空气时，PaO2&lt;7.3kPa(55mmHg)，或SaO2&lt;88%，伴或不伴高碳酸血症；</w:t>
            </w:r>
          </w:p>
          <w:p w:rsidR="00AC6B16" w:rsidRPr="0013437E" w:rsidRDefault="00AC6B16" w:rsidP="001A6D4D">
            <w:pPr>
              <w:spacing w:line="220" w:lineRule="exact"/>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lastRenderedPageBreak/>
              <w:t>②PaO2在 7.3 kPa(55mmHg)和8.0 kPa(60mmHg)之间，伴有充血性心力衰竭或继发性红细胞增多症（红细胞压积&gt;55%）。</w:t>
            </w:r>
          </w:p>
        </w:tc>
        <w:tc>
          <w:tcPr>
            <w:tcW w:w="979"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lastRenderedPageBreak/>
              <w:t>2800</w:t>
            </w:r>
          </w:p>
        </w:tc>
        <w:tc>
          <w:tcPr>
            <w:tcW w:w="797" w:type="dxa"/>
            <w:tcBorders>
              <w:top w:val="nil"/>
              <w:left w:val="nil"/>
              <w:bottom w:val="single" w:sz="4" w:space="0" w:color="auto"/>
              <w:right w:val="single" w:sz="4" w:space="0" w:color="auto"/>
            </w:tcBorders>
            <w:shd w:val="clear" w:color="000000" w:fill="FFFFFF"/>
            <w:vAlign w:val="center"/>
          </w:tcPr>
          <w:p w:rsidR="00AC6B16" w:rsidRPr="0013437E" w:rsidRDefault="00AC6B16" w:rsidP="001A6D4D">
            <w:pPr>
              <w:jc w:val="center"/>
              <w:rPr>
                <w:rFonts w:ascii="仿宋_GB2312" w:eastAsia="仿宋_GB2312" w:hAnsi="仿宋" w:hint="eastAsia"/>
                <w:color w:val="000000"/>
                <w:sz w:val="18"/>
                <w:szCs w:val="18"/>
              </w:rPr>
            </w:pPr>
            <w:r w:rsidRPr="0013437E">
              <w:rPr>
                <w:rFonts w:ascii="仿宋_GB2312" w:eastAsia="仿宋_GB2312" w:hAnsi="仿宋" w:hint="eastAsia"/>
                <w:color w:val="000000"/>
                <w:sz w:val="18"/>
                <w:szCs w:val="18"/>
              </w:rPr>
              <w:t>3</w:t>
            </w:r>
            <w:r w:rsidRPr="0013437E">
              <w:rPr>
                <w:rFonts w:ascii="仿宋_GB2312" w:eastAsia="仿宋_GB2312" w:hAnsi="仿宋" w:cs="宋体" w:hint="eastAsia"/>
                <w:color w:val="000000"/>
                <w:kern w:val="0"/>
                <w:sz w:val="18"/>
                <w:szCs w:val="18"/>
              </w:rPr>
              <w:t>★</w:t>
            </w:r>
          </w:p>
        </w:tc>
      </w:tr>
      <w:tr w:rsidR="00AC6B16" w:rsidRPr="0013437E" w:rsidTr="001A6D4D">
        <w:trPr>
          <w:trHeight w:val="20"/>
        </w:trPr>
        <w:tc>
          <w:tcPr>
            <w:tcW w:w="15110" w:type="dxa"/>
            <w:gridSpan w:val="9"/>
            <w:tcBorders>
              <w:top w:val="single" w:sz="4" w:space="0" w:color="auto"/>
            </w:tcBorders>
            <w:shd w:val="clear" w:color="auto" w:fill="auto"/>
            <w:vAlign w:val="center"/>
          </w:tcPr>
          <w:p w:rsidR="00AC6B16" w:rsidRPr="0013437E" w:rsidRDefault="00AC6B16" w:rsidP="001A6D4D">
            <w:pPr>
              <w:spacing w:line="240" w:lineRule="exact"/>
              <w:ind w:left="540" w:hangingChars="300" w:hanging="540"/>
              <w:rPr>
                <w:rFonts w:ascii="仿宋_GB2312" w:eastAsia="仿宋_GB2312" w:hint="eastAsia"/>
                <w:color w:val="000000"/>
                <w:kern w:val="0"/>
                <w:sz w:val="18"/>
                <w:szCs w:val="18"/>
              </w:rPr>
            </w:pPr>
          </w:p>
          <w:p w:rsidR="00AC6B16" w:rsidRPr="0013437E" w:rsidRDefault="00AC6B16" w:rsidP="001A6D4D">
            <w:pPr>
              <w:spacing w:line="240" w:lineRule="exact"/>
              <w:ind w:left="540" w:hangingChars="300" w:hanging="540"/>
              <w:rPr>
                <w:rFonts w:ascii="仿宋_GB2312" w:eastAsia="仿宋_GB2312" w:hint="eastAsia"/>
                <w:color w:val="000000"/>
                <w:kern w:val="0"/>
                <w:sz w:val="18"/>
                <w:szCs w:val="18"/>
              </w:rPr>
            </w:pPr>
            <w:r w:rsidRPr="0013437E">
              <w:rPr>
                <w:rFonts w:ascii="仿宋_GB2312" w:eastAsia="仿宋_GB2312" w:hint="eastAsia"/>
                <w:color w:val="000000"/>
                <w:kern w:val="0"/>
                <w:sz w:val="18"/>
                <w:szCs w:val="18"/>
              </w:rPr>
              <w:t>备注: 1、安装编号为10005、10008、10011、10014的肌电假肢时，一侧安装肌机电假肢，另一侧则安装装饰性假肢或索控式假肢；</w:t>
            </w:r>
            <w:r w:rsidRPr="0013437E">
              <w:rPr>
                <w:rFonts w:ascii="仿宋_GB2312" w:eastAsia="仿宋_GB2312" w:hint="eastAsia"/>
                <w:color w:val="000000"/>
                <w:kern w:val="0"/>
                <w:sz w:val="18"/>
                <w:szCs w:val="18"/>
              </w:rPr>
              <w:br/>
              <w:t>2、工伤保险最高支付限额包含使用训练费、使用期维修费和耗材费；</w:t>
            </w:r>
            <w:r w:rsidRPr="0013437E">
              <w:rPr>
                <w:rFonts w:ascii="仿宋_GB2312" w:eastAsia="仿宋_GB2312" w:hint="eastAsia"/>
                <w:color w:val="000000"/>
                <w:kern w:val="0"/>
                <w:sz w:val="18"/>
                <w:szCs w:val="18"/>
              </w:rPr>
              <w:br/>
              <w:t>3、工伤人员配置的辅助器具在规定的最低使用期内由原配机构负责维修及配件更换（含肌电控制假肢的电池）；</w:t>
            </w:r>
            <w:r w:rsidRPr="0013437E">
              <w:rPr>
                <w:rFonts w:ascii="仿宋_GB2312" w:eastAsia="仿宋_GB2312" w:hint="eastAsia"/>
                <w:color w:val="000000"/>
                <w:kern w:val="0"/>
                <w:sz w:val="18"/>
                <w:szCs w:val="18"/>
              </w:rPr>
              <w:br/>
              <w:t>4、假牙等协议配置机构不能配置的项目，须经经办机构批准后在指定医疗机构配置;</w:t>
            </w:r>
          </w:p>
          <w:p w:rsidR="00AC6B16" w:rsidRPr="0013437E" w:rsidRDefault="00AC6B16" w:rsidP="001A6D4D">
            <w:pPr>
              <w:spacing w:line="240" w:lineRule="exact"/>
              <w:ind w:left="540" w:hangingChars="300" w:hanging="540"/>
              <w:rPr>
                <w:rFonts w:ascii="仿宋_GB2312" w:eastAsia="仿宋_GB2312" w:hint="eastAsia"/>
                <w:color w:val="000000"/>
                <w:kern w:val="0"/>
                <w:sz w:val="18"/>
                <w:szCs w:val="18"/>
              </w:rPr>
            </w:pPr>
            <w:r w:rsidRPr="0013437E">
              <w:rPr>
                <w:rFonts w:ascii="仿宋_GB2312" w:eastAsia="仿宋_GB2312" w:hint="eastAsia"/>
                <w:color w:val="000000"/>
                <w:kern w:val="0"/>
                <w:sz w:val="18"/>
                <w:szCs w:val="18"/>
              </w:rPr>
              <w:t xml:space="preserve">      5、标注</w:t>
            </w:r>
            <w:r w:rsidRPr="0013437E">
              <w:rPr>
                <w:rFonts w:ascii="仿宋_GB2312" w:eastAsia="仿宋_GB2312" w:hAnsi="仿宋" w:cs="宋体" w:hint="eastAsia"/>
                <w:color w:val="000000"/>
                <w:kern w:val="0"/>
                <w:sz w:val="18"/>
                <w:szCs w:val="18"/>
              </w:rPr>
              <w:t>★的26项辅助器具，使用年限到期后要求更换者，须</w:t>
            </w:r>
            <w:r>
              <w:rPr>
                <w:rFonts w:ascii="仿宋_GB2312" w:eastAsia="仿宋_GB2312" w:hAnsi="仿宋" w:cs="宋体" w:hint="eastAsia"/>
                <w:color w:val="000000"/>
                <w:kern w:val="0"/>
                <w:sz w:val="18"/>
                <w:szCs w:val="18"/>
              </w:rPr>
              <w:t>交回</w:t>
            </w:r>
            <w:r w:rsidRPr="0013437E">
              <w:rPr>
                <w:rFonts w:ascii="仿宋_GB2312" w:eastAsia="仿宋_GB2312" w:hAnsi="仿宋" w:cs="宋体" w:hint="eastAsia"/>
                <w:color w:val="000000"/>
                <w:kern w:val="0"/>
                <w:sz w:val="18"/>
                <w:szCs w:val="18"/>
              </w:rPr>
              <w:t>原配置器具方可配置新器具</w:t>
            </w:r>
            <w:r>
              <w:rPr>
                <w:rFonts w:ascii="仿宋_GB2312" w:eastAsia="仿宋_GB2312" w:hAnsi="仿宋" w:cs="宋体" w:hint="eastAsia"/>
                <w:color w:val="000000"/>
                <w:kern w:val="0"/>
                <w:sz w:val="18"/>
                <w:szCs w:val="18"/>
              </w:rPr>
              <w:t>。</w:t>
            </w:r>
            <w:r w:rsidRPr="0013437E">
              <w:rPr>
                <w:rFonts w:ascii="仿宋_GB2312" w:eastAsia="仿宋_GB2312" w:hAnsi="仿宋" w:cs="宋体" w:hint="eastAsia"/>
                <w:color w:val="000000"/>
                <w:kern w:val="0"/>
                <w:sz w:val="18"/>
                <w:szCs w:val="18"/>
              </w:rPr>
              <w:t>旧器具由</w:t>
            </w:r>
            <w:r>
              <w:rPr>
                <w:rFonts w:ascii="仿宋_GB2312" w:eastAsia="仿宋_GB2312" w:hAnsi="仿宋" w:cs="宋体" w:hint="eastAsia"/>
                <w:color w:val="000000"/>
                <w:kern w:val="0"/>
                <w:sz w:val="18"/>
                <w:szCs w:val="18"/>
              </w:rPr>
              <w:t>新</w:t>
            </w:r>
            <w:r w:rsidRPr="0013437E">
              <w:rPr>
                <w:rFonts w:ascii="仿宋_GB2312" w:eastAsia="仿宋_GB2312" w:hAnsi="仿宋" w:cs="宋体" w:hint="eastAsia"/>
                <w:color w:val="000000"/>
                <w:kern w:val="0"/>
                <w:sz w:val="18"/>
                <w:szCs w:val="18"/>
              </w:rPr>
              <w:t>辅助器具配置机构回收登记，定期由人社部门统一处理。</w:t>
            </w:r>
          </w:p>
        </w:tc>
      </w:tr>
    </w:tbl>
    <w:p w:rsidR="0077181E" w:rsidRPr="00AC6B16" w:rsidRDefault="0077181E">
      <w:bookmarkStart w:id="0" w:name="_GoBack"/>
      <w:bookmarkEnd w:id="0"/>
    </w:p>
    <w:sectPr w:rsidR="0077181E" w:rsidRPr="00AC6B16" w:rsidSect="00AC6B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23" w:rsidRDefault="00BF7F23" w:rsidP="00AC6B16">
      <w:r>
        <w:separator/>
      </w:r>
    </w:p>
  </w:endnote>
  <w:endnote w:type="continuationSeparator" w:id="0">
    <w:p w:rsidR="00BF7F23" w:rsidRDefault="00BF7F23" w:rsidP="00AC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23" w:rsidRDefault="00BF7F23" w:rsidP="00AC6B16">
      <w:r>
        <w:separator/>
      </w:r>
    </w:p>
  </w:footnote>
  <w:footnote w:type="continuationSeparator" w:id="0">
    <w:p w:rsidR="00BF7F23" w:rsidRDefault="00BF7F23" w:rsidP="00AC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AE"/>
    <w:rsid w:val="0077181E"/>
    <w:rsid w:val="00AC6B16"/>
    <w:rsid w:val="00BF7F23"/>
    <w:rsid w:val="00F4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42A84D-5013-4233-BF5A-DAC9CB42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B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6B16"/>
    <w:rPr>
      <w:sz w:val="18"/>
      <w:szCs w:val="18"/>
    </w:rPr>
  </w:style>
  <w:style w:type="paragraph" w:styleId="a5">
    <w:name w:val="footer"/>
    <w:basedOn w:val="a"/>
    <w:link w:val="a6"/>
    <w:uiPriority w:val="99"/>
    <w:unhideWhenUsed/>
    <w:rsid w:val="00AC6B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6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2020-06-12T09:00:00Z</dcterms:created>
  <dcterms:modified xsi:type="dcterms:W3CDTF">2020-06-12T09:01:00Z</dcterms:modified>
</cp:coreProperties>
</file>