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方正小标宋简体" w:hAnsi="宋体" w:eastAsia="方正小标宋简体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扩大阶段性缓缴社会保险费政策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实施范围等问题的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现就《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关于扩大阶段性缓缴社会保险费政策实施范围等问题的通知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解读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Times New Roman" w:hAnsi="Times New Roman" w:eastAsia="黑体"/>
          <w:bCs/>
          <w:spacing w:val="-6"/>
          <w:sz w:val="32"/>
          <w:szCs w:val="32"/>
        </w:rPr>
      </w:pPr>
      <w:r>
        <w:rPr>
          <w:rFonts w:hint="eastAsia" w:ascii="Times New Roman" w:hAnsi="Times New Roman" w:eastAsia="黑体"/>
          <w:bCs/>
          <w:spacing w:val="-6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/>
          <w:bCs/>
          <w:spacing w:val="-6"/>
          <w:sz w:val="32"/>
          <w:szCs w:val="32"/>
          <w:lang w:eastAsia="zh-CN"/>
        </w:rPr>
        <w:t>一、政策出台</w:t>
      </w:r>
      <w:r>
        <w:rPr>
          <w:rFonts w:ascii="Times New Roman" w:hAnsi="Times New Roman" w:eastAsia="黑体"/>
          <w:bCs/>
          <w:spacing w:val="-6"/>
          <w:sz w:val="32"/>
          <w:szCs w:val="32"/>
        </w:rPr>
        <w:t>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月25日，李克强总理在全国稳住经济大盘电视电话会议中提出，要全面贯彻新发展理念，高效统筹疫情防控和经济社会发展，把稳增长放在更加突出的位置，着力保市场主体、保就业民生、保护经济韧性。同时，国务院制定了稳经济33条，要求各部门配套政策于5月底前全部出台。根据国务院会议精神，5月31日，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人力资源社会保障部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发展改革委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税务总局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《关于扩大阶段性缓缴社会保险费政策实施范围等问题的通知》（人社部发〔2022〕31号），扩大阶段性缓缴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费范围。6月1日和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7日，人社部分别3次召开电视电话会议，要求各地尽快制定出台相关政策，确保国家相关政策落实落地落细。</w:t>
      </w:r>
      <w:r>
        <w:rPr>
          <w:rFonts w:hint="eastAsia" w:ascii="仿宋_GB2312" w:eastAsia="仿宋_GB2312"/>
          <w:sz w:val="32"/>
          <w:szCs w:val="32"/>
        </w:rPr>
        <w:t>在深入学习领会国务院和人社部精神</w:t>
      </w:r>
      <w:r>
        <w:rPr>
          <w:rFonts w:hint="eastAsia" w:ascii="仿宋_GB2312" w:eastAsia="仿宋_GB2312"/>
          <w:sz w:val="32"/>
          <w:szCs w:val="32"/>
          <w:lang w:eastAsia="zh-CN"/>
        </w:rPr>
        <w:t>的基础上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结合我区实际，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自治区人力资源社会保障厅</w:t>
      </w:r>
      <w:r>
        <w:rPr>
          <w:rFonts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发展改革委、财政厅、宁夏税务局印发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关于扩大阶段性缓缴社会保险费政策实施范围等问题的通知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人社发〔2022〕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扩大阶段性缓缴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费范围和发挥失业保险稳岗返等政策进行了明确，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商请自治区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应对新冠肺炎疫情工作指挥部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办公室对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受疫情影响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严重地区进行了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eastAsia="zh-CN" w:bidi="ar"/>
        </w:rPr>
        <w:t>政策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eastAsia="zh-CN" w:bidi="ar"/>
        </w:rPr>
        <w:t>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Times New Roman" w:eastAsia="楷体_GB2312"/>
          <w:b/>
          <w:kern w:val="32"/>
          <w:sz w:val="32"/>
          <w:szCs w:val="20"/>
          <w:lang w:val="en-US" w:eastAsia="zh-CN"/>
        </w:rPr>
        <w:t xml:space="preserve">    （一）扩大实施缓缴政策范围</w:t>
      </w:r>
      <w:r>
        <w:rPr>
          <w:rFonts w:hint="eastAsia" w:ascii="楷体_GB2312" w:hAnsi="Times New Roman" w:eastAsia="楷体_GB2312"/>
          <w:b/>
          <w:kern w:val="32"/>
          <w:sz w:val="32"/>
          <w:szCs w:val="20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eastAsia="zh-CN" w:bidi="ar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餐饮、零售、旅游、民航、公路水路铁路运输等5个特困行业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的基础上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进一步扩大到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17个困难行业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范围的困难企业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扩大后享受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阶段性缓缴三项社会保险费政策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行业增加至22个；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eastAsia="zh-CN" w:bidi="ar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符合自治区应对新冠肺炎疫情工作指挥部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的受疫情影响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严重地区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或出现过密接者封控地区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生产经营出现暂时困难的所有中小微企业、以单位方式参保的个体工商户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范围；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eastAsia="zh-CN" w:bidi="ar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参加企业职工基本养老保险的事业单位及社会团体、基金会、社会服务机构、律师事务所、会计师事务所等社会组织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Times New Roman" w:eastAsia="楷体_GB2312"/>
          <w:b/>
          <w:kern w:val="32"/>
          <w:sz w:val="32"/>
          <w:szCs w:val="20"/>
          <w:lang w:eastAsia="zh-CN"/>
        </w:rPr>
        <w:t>（二）明确</w:t>
      </w:r>
      <w:r>
        <w:rPr>
          <w:rFonts w:hint="eastAsia" w:ascii="楷体_GB2312" w:hAnsi="Times New Roman" w:eastAsia="楷体_GB2312"/>
          <w:b/>
          <w:kern w:val="32"/>
          <w:sz w:val="32"/>
          <w:szCs w:val="20"/>
          <w:lang w:val="en-US" w:eastAsia="zh-CN"/>
        </w:rPr>
        <w:t>缓缴</w:t>
      </w:r>
      <w:r>
        <w:rPr>
          <w:rFonts w:hint="default" w:ascii="楷体_GB2312" w:hAnsi="Times New Roman" w:eastAsia="楷体_GB2312"/>
          <w:b/>
          <w:kern w:val="32"/>
          <w:sz w:val="32"/>
          <w:szCs w:val="20"/>
          <w:lang w:eastAsia="zh-CN"/>
        </w:rPr>
        <w:t>及补缴</w:t>
      </w:r>
      <w:r>
        <w:rPr>
          <w:rFonts w:hint="eastAsia" w:ascii="楷体_GB2312" w:hAnsi="Times New Roman" w:eastAsia="楷体_GB2312"/>
          <w:b/>
          <w:kern w:val="32"/>
          <w:sz w:val="32"/>
          <w:szCs w:val="20"/>
          <w:lang w:eastAsia="zh-CN"/>
        </w:rPr>
        <w:t>期限。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养老保险费缓缴期限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从申请之日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到2022年年底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缓缴的费款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最晚于2023年6月底前全部缴清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困难行业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工伤、失业保险费缓缴期限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从申请之日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3月底，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缓缴的费款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最晚于2023年4月底前全部缴清；困难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中小微企业工伤、失业保险费缓缴期限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从申请之日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缓缴的费款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最晚于2023年1月底前全部缴清。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原明确的5个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困行业缓缴养老保险费期限相应延长至2022年年底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。逾期未缴的，按规定加收滞纳金。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Times New Roman" w:eastAsia="楷体_GB2312"/>
          <w:b/>
          <w:kern w:val="32"/>
          <w:sz w:val="32"/>
          <w:szCs w:val="20"/>
        </w:rPr>
        <w:t>（三）进一步发挥失业保险稳岗</w:t>
      </w:r>
      <w:r>
        <w:rPr>
          <w:rFonts w:hint="eastAsia" w:ascii="楷体_GB2312" w:hAnsi="Times New Roman" w:eastAsia="楷体_GB2312"/>
          <w:b/>
          <w:kern w:val="32"/>
          <w:sz w:val="32"/>
          <w:szCs w:val="20"/>
          <w:lang w:eastAsia="zh-CN"/>
        </w:rPr>
        <w:t>扩岗</w:t>
      </w:r>
      <w:r>
        <w:rPr>
          <w:rFonts w:hint="eastAsia" w:ascii="楷体_GB2312" w:hAnsi="Times New Roman" w:eastAsia="楷体_GB2312"/>
          <w:b/>
          <w:kern w:val="32"/>
          <w:sz w:val="32"/>
          <w:szCs w:val="20"/>
        </w:rPr>
        <w:t>作用。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eastAsia="zh-CN" w:bidi="ar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加大稳岗返还支持力度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大型企业按企业及其职工上年度实际缴纳失业保险费的50%返还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中小微企业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0%返还。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企业招用毕业年度高校毕业生，签订劳动合同并参加失业保险的，可按每人1500元的标准，发放一次性扩岗补助。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拓宽一次性留工培训补助受益范围。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失业保险基金滚存结余备付期在2年以上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累计出现1个（含）以上中高风险疫情的市、县（区），发放一次性留工培训补助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的范围由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中小微企业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扩大到大型企业。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b/>
          <w:kern w:val="32"/>
          <w:sz w:val="32"/>
          <w:szCs w:val="20"/>
          <w:lang w:eastAsia="zh-CN"/>
        </w:rPr>
        <w:t>（四）简化</w:t>
      </w:r>
      <w:r>
        <w:rPr>
          <w:rFonts w:hint="eastAsia" w:ascii="楷体_GB2312" w:hAnsi="Times New Roman" w:eastAsia="楷体_GB2312"/>
          <w:b/>
          <w:kern w:val="32"/>
          <w:sz w:val="32"/>
          <w:szCs w:val="20"/>
          <w:lang w:val="en-US" w:eastAsia="zh-CN"/>
        </w:rPr>
        <w:t>办理流程</w:t>
      </w:r>
      <w:r>
        <w:rPr>
          <w:rFonts w:hint="eastAsia" w:ascii="楷体_GB2312" w:hAnsi="Times New Roman" w:eastAsia="楷体_GB2312"/>
          <w:b/>
          <w:kern w:val="32"/>
          <w:sz w:val="32"/>
          <w:szCs w:val="20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eastAsia="zh-CN" w:bidi="ar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缓缴实行告知承诺制。符合条件的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单位可以进行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书面承诺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，在线上提交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请后即可享受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政策。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eastAsia="zh-CN" w:bidi="ar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继续推行失业保险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“免申即享”经办模式。对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符合享受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一次性留工培训补助、一次性扩岗补助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审核并公示后，由社保经办机构直接发放资金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确保符合条件的企业应享尽享。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Times New Roman" w:eastAsia="楷体_GB2312"/>
          <w:b/>
          <w:kern w:val="32"/>
          <w:sz w:val="32"/>
          <w:szCs w:val="20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b/>
          <w:kern w:val="32"/>
          <w:sz w:val="32"/>
          <w:szCs w:val="20"/>
          <w:lang w:eastAsia="zh-CN"/>
        </w:rPr>
        <w:t>（五）</w:t>
      </w:r>
      <w:r>
        <w:rPr>
          <w:rFonts w:hint="eastAsia" w:ascii="楷体_GB2312" w:hAnsi="Times New Roman" w:eastAsia="楷体_GB2312"/>
          <w:b/>
          <w:kern w:val="32"/>
          <w:sz w:val="32"/>
          <w:szCs w:val="20"/>
          <w:lang w:val="en-US" w:eastAsia="zh-CN"/>
        </w:rPr>
        <w:t>权益</w:t>
      </w:r>
      <w:r>
        <w:rPr>
          <w:rFonts w:hint="eastAsia" w:ascii="楷体_GB2312" w:hAnsi="Times New Roman" w:eastAsia="楷体_GB2312"/>
          <w:b/>
          <w:kern w:val="32"/>
          <w:sz w:val="32"/>
          <w:szCs w:val="20"/>
          <w:lang w:eastAsia="zh-CN"/>
        </w:rPr>
        <w:t>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缓缴期限内，职工申领养老保险待遇、办理关系转移等业务的，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应为其补齐缓缴的养老保险费。缓缴的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出现注销等情形的，应在注销前缴纳缓缴的费款。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474" w:bottom="1417" w:left="1587" w:header="851" w:footer="1247" w:gutter="0"/>
      <w:pgNumType w:fmt="numberInDash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方正宋体S-超大字符集(SIP)"/>
    <w:panose1 w:val="00000000000000000000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HEDBqyAQAAUQMAAA4AAAAAAAAAAQAgAAAANA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right"/>
                  <w:rPr>
                    <w:rFonts w:hint="eastAsia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6 -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653"/>
    <w:rsid w:val="00017A9E"/>
    <w:rsid w:val="000235E1"/>
    <w:rsid w:val="00031224"/>
    <w:rsid w:val="00040029"/>
    <w:rsid w:val="00044AE1"/>
    <w:rsid w:val="00051066"/>
    <w:rsid w:val="000F0CA7"/>
    <w:rsid w:val="000F107D"/>
    <w:rsid w:val="000F4E65"/>
    <w:rsid w:val="00127995"/>
    <w:rsid w:val="001543DD"/>
    <w:rsid w:val="001646D7"/>
    <w:rsid w:val="00167CB2"/>
    <w:rsid w:val="00172A27"/>
    <w:rsid w:val="001775B4"/>
    <w:rsid w:val="001921B2"/>
    <w:rsid w:val="001934B6"/>
    <w:rsid w:val="001C0656"/>
    <w:rsid w:val="001C6E34"/>
    <w:rsid w:val="001D57AD"/>
    <w:rsid w:val="001D5FFC"/>
    <w:rsid w:val="001F4E10"/>
    <w:rsid w:val="00201ECF"/>
    <w:rsid w:val="002304BA"/>
    <w:rsid w:val="002348A8"/>
    <w:rsid w:val="0024308E"/>
    <w:rsid w:val="0028056C"/>
    <w:rsid w:val="002C5F58"/>
    <w:rsid w:val="002C63EB"/>
    <w:rsid w:val="002F0ABC"/>
    <w:rsid w:val="002F2E36"/>
    <w:rsid w:val="00316A90"/>
    <w:rsid w:val="003259A8"/>
    <w:rsid w:val="00350D13"/>
    <w:rsid w:val="0035386B"/>
    <w:rsid w:val="003662AB"/>
    <w:rsid w:val="00384B07"/>
    <w:rsid w:val="00397923"/>
    <w:rsid w:val="003B1EA7"/>
    <w:rsid w:val="003B7D3E"/>
    <w:rsid w:val="003E2A57"/>
    <w:rsid w:val="003E2ABD"/>
    <w:rsid w:val="004040DD"/>
    <w:rsid w:val="00405B58"/>
    <w:rsid w:val="0041207B"/>
    <w:rsid w:val="00424391"/>
    <w:rsid w:val="00426D2A"/>
    <w:rsid w:val="004275FB"/>
    <w:rsid w:val="004426ED"/>
    <w:rsid w:val="00471513"/>
    <w:rsid w:val="0047214B"/>
    <w:rsid w:val="00493F8F"/>
    <w:rsid w:val="00496159"/>
    <w:rsid w:val="004A1F53"/>
    <w:rsid w:val="004A6E6D"/>
    <w:rsid w:val="004C73CD"/>
    <w:rsid w:val="004D41CC"/>
    <w:rsid w:val="004D6D64"/>
    <w:rsid w:val="004E277A"/>
    <w:rsid w:val="004E5B29"/>
    <w:rsid w:val="0050163D"/>
    <w:rsid w:val="00514854"/>
    <w:rsid w:val="00515C11"/>
    <w:rsid w:val="00521AF3"/>
    <w:rsid w:val="00527AA7"/>
    <w:rsid w:val="00534954"/>
    <w:rsid w:val="00535737"/>
    <w:rsid w:val="005452EE"/>
    <w:rsid w:val="0056327E"/>
    <w:rsid w:val="00582794"/>
    <w:rsid w:val="005849A4"/>
    <w:rsid w:val="00596130"/>
    <w:rsid w:val="005B79E2"/>
    <w:rsid w:val="005D35BC"/>
    <w:rsid w:val="005D6E79"/>
    <w:rsid w:val="006007B2"/>
    <w:rsid w:val="00602EDA"/>
    <w:rsid w:val="0060464F"/>
    <w:rsid w:val="00645DFF"/>
    <w:rsid w:val="00652A2D"/>
    <w:rsid w:val="00652C91"/>
    <w:rsid w:val="00675887"/>
    <w:rsid w:val="00675C14"/>
    <w:rsid w:val="006851C3"/>
    <w:rsid w:val="006907BC"/>
    <w:rsid w:val="006A1DE6"/>
    <w:rsid w:val="006B267F"/>
    <w:rsid w:val="006C5E14"/>
    <w:rsid w:val="006C6371"/>
    <w:rsid w:val="006D40A8"/>
    <w:rsid w:val="006D69AE"/>
    <w:rsid w:val="006E1DAC"/>
    <w:rsid w:val="006F2B78"/>
    <w:rsid w:val="006F6D6B"/>
    <w:rsid w:val="007017C9"/>
    <w:rsid w:val="00717C5D"/>
    <w:rsid w:val="00735DD5"/>
    <w:rsid w:val="007473D8"/>
    <w:rsid w:val="007604EB"/>
    <w:rsid w:val="00766D6D"/>
    <w:rsid w:val="00794DC4"/>
    <w:rsid w:val="007D14AA"/>
    <w:rsid w:val="00813CDE"/>
    <w:rsid w:val="00823772"/>
    <w:rsid w:val="00833A6B"/>
    <w:rsid w:val="008463DE"/>
    <w:rsid w:val="00864CE2"/>
    <w:rsid w:val="00872D4A"/>
    <w:rsid w:val="00895D38"/>
    <w:rsid w:val="00896FAE"/>
    <w:rsid w:val="008A2B96"/>
    <w:rsid w:val="008A37C0"/>
    <w:rsid w:val="008B5CFE"/>
    <w:rsid w:val="008D5BE5"/>
    <w:rsid w:val="00904D20"/>
    <w:rsid w:val="009127CB"/>
    <w:rsid w:val="00917F7D"/>
    <w:rsid w:val="009277AC"/>
    <w:rsid w:val="009340BC"/>
    <w:rsid w:val="009364A7"/>
    <w:rsid w:val="00942D91"/>
    <w:rsid w:val="00951AEE"/>
    <w:rsid w:val="009576D9"/>
    <w:rsid w:val="00965C4A"/>
    <w:rsid w:val="009805B4"/>
    <w:rsid w:val="0099008C"/>
    <w:rsid w:val="00993305"/>
    <w:rsid w:val="009A25A0"/>
    <w:rsid w:val="009B3301"/>
    <w:rsid w:val="009B6C9A"/>
    <w:rsid w:val="009B7830"/>
    <w:rsid w:val="00A12BC2"/>
    <w:rsid w:val="00A13C0D"/>
    <w:rsid w:val="00A1581F"/>
    <w:rsid w:val="00A312E6"/>
    <w:rsid w:val="00A3449F"/>
    <w:rsid w:val="00A36800"/>
    <w:rsid w:val="00A47C1A"/>
    <w:rsid w:val="00A47C52"/>
    <w:rsid w:val="00A54968"/>
    <w:rsid w:val="00A57440"/>
    <w:rsid w:val="00A603D4"/>
    <w:rsid w:val="00A76A00"/>
    <w:rsid w:val="00A8167D"/>
    <w:rsid w:val="00A8383D"/>
    <w:rsid w:val="00A839F5"/>
    <w:rsid w:val="00A8407B"/>
    <w:rsid w:val="00A85096"/>
    <w:rsid w:val="00A85582"/>
    <w:rsid w:val="00A951F2"/>
    <w:rsid w:val="00AB0C11"/>
    <w:rsid w:val="00AB7C90"/>
    <w:rsid w:val="00AE6B66"/>
    <w:rsid w:val="00AF7236"/>
    <w:rsid w:val="00B0510F"/>
    <w:rsid w:val="00B074FC"/>
    <w:rsid w:val="00B115F2"/>
    <w:rsid w:val="00B12571"/>
    <w:rsid w:val="00B16140"/>
    <w:rsid w:val="00B16487"/>
    <w:rsid w:val="00B30E4C"/>
    <w:rsid w:val="00B35013"/>
    <w:rsid w:val="00B47B3B"/>
    <w:rsid w:val="00B62DD0"/>
    <w:rsid w:val="00B670CA"/>
    <w:rsid w:val="00B7064A"/>
    <w:rsid w:val="00B806B9"/>
    <w:rsid w:val="00BB089F"/>
    <w:rsid w:val="00BC39D0"/>
    <w:rsid w:val="00BE0F98"/>
    <w:rsid w:val="00BF775D"/>
    <w:rsid w:val="00C078CC"/>
    <w:rsid w:val="00C13248"/>
    <w:rsid w:val="00C44DC8"/>
    <w:rsid w:val="00C508E8"/>
    <w:rsid w:val="00C57FA2"/>
    <w:rsid w:val="00CA1D0D"/>
    <w:rsid w:val="00CA4EB6"/>
    <w:rsid w:val="00D03448"/>
    <w:rsid w:val="00D04727"/>
    <w:rsid w:val="00D11C61"/>
    <w:rsid w:val="00D75A66"/>
    <w:rsid w:val="00D76AF4"/>
    <w:rsid w:val="00D86CA0"/>
    <w:rsid w:val="00DD3CEA"/>
    <w:rsid w:val="00DD78FB"/>
    <w:rsid w:val="00DF5F8A"/>
    <w:rsid w:val="00E01B07"/>
    <w:rsid w:val="00E021BF"/>
    <w:rsid w:val="00E6729D"/>
    <w:rsid w:val="00E8673A"/>
    <w:rsid w:val="00E92B9F"/>
    <w:rsid w:val="00EB277D"/>
    <w:rsid w:val="00EC0458"/>
    <w:rsid w:val="00EC4EB5"/>
    <w:rsid w:val="00EC6D5F"/>
    <w:rsid w:val="00EE2891"/>
    <w:rsid w:val="00EF4D43"/>
    <w:rsid w:val="00F03837"/>
    <w:rsid w:val="00F237D0"/>
    <w:rsid w:val="00F333D7"/>
    <w:rsid w:val="00F45093"/>
    <w:rsid w:val="00FB2508"/>
    <w:rsid w:val="00FC41DC"/>
    <w:rsid w:val="00FE1648"/>
    <w:rsid w:val="00FF6354"/>
    <w:rsid w:val="0FAE5906"/>
    <w:rsid w:val="10DD3DC8"/>
    <w:rsid w:val="136F759A"/>
    <w:rsid w:val="171FB9D5"/>
    <w:rsid w:val="1A575342"/>
    <w:rsid w:val="1EB56070"/>
    <w:rsid w:val="1F275417"/>
    <w:rsid w:val="1FF67B87"/>
    <w:rsid w:val="27DFB487"/>
    <w:rsid w:val="2AEFC029"/>
    <w:rsid w:val="2DFB527A"/>
    <w:rsid w:val="2F9DD238"/>
    <w:rsid w:val="31DC1059"/>
    <w:rsid w:val="34FFE8C8"/>
    <w:rsid w:val="35B12BCB"/>
    <w:rsid w:val="35F45FEC"/>
    <w:rsid w:val="364614A5"/>
    <w:rsid w:val="37E960BA"/>
    <w:rsid w:val="39DA1088"/>
    <w:rsid w:val="3D4F1C50"/>
    <w:rsid w:val="3DDDEDFF"/>
    <w:rsid w:val="3DFF62C7"/>
    <w:rsid w:val="3E83554D"/>
    <w:rsid w:val="3F615D03"/>
    <w:rsid w:val="3FBD7CD4"/>
    <w:rsid w:val="3FFB4C0C"/>
    <w:rsid w:val="3FFC6EFB"/>
    <w:rsid w:val="3FFCB7CE"/>
    <w:rsid w:val="429E11B1"/>
    <w:rsid w:val="43BF141A"/>
    <w:rsid w:val="46A4753C"/>
    <w:rsid w:val="499804DD"/>
    <w:rsid w:val="4FF6050A"/>
    <w:rsid w:val="5002582F"/>
    <w:rsid w:val="507B69F8"/>
    <w:rsid w:val="53F4C5B1"/>
    <w:rsid w:val="53FB57E9"/>
    <w:rsid w:val="55FF54E5"/>
    <w:rsid w:val="56CE8AE3"/>
    <w:rsid w:val="56D387AC"/>
    <w:rsid w:val="577D80D1"/>
    <w:rsid w:val="59B3E497"/>
    <w:rsid w:val="5B4868D5"/>
    <w:rsid w:val="5BF16245"/>
    <w:rsid w:val="5BF2B217"/>
    <w:rsid w:val="5CCE07C5"/>
    <w:rsid w:val="5E3F08FC"/>
    <w:rsid w:val="5F5BD069"/>
    <w:rsid w:val="5F7F864B"/>
    <w:rsid w:val="5FB9A167"/>
    <w:rsid w:val="5FBB1EE9"/>
    <w:rsid w:val="66BFF738"/>
    <w:rsid w:val="66F3E76A"/>
    <w:rsid w:val="67B7C9AB"/>
    <w:rsid w:val="67FB9D2D"/>
    <w:rsid w:val="6BFEA898"/>
    <w:rsid w:val="6E7A3EF3"/>
    <w:rsid w:val="6F7F5E10"/>
    <w:rsid w:val="727162F6"/>
    <w:rsid w:val="73DD345B"/>
    <w:rsid w:val="73FF352B"/>
    <w:rsid w:val="75C2303E"/>
    <w:rsid w:val="75EE129A"/>
    <w:rsid w:val="76BF5F45"/>
    <w:rsid w:val="76F791B3"/>
    <w:rsid w:val="77BB3C9C"/>
    <w:rsid w:val="77D75028"/>
    <w:rsid w:val="77F77EE5"/>
    <w:rsid w:val="7A9EA2FB"/>
    <w:rsid w:val="7BBF5E18"/>
    <w:rsid w:val="7C420371"/>
    <w:rsid w:val="7CFA9CA6"/>
    <w:rsid w:val="7D7EB269"/>
    <w:rsid w:val="7DD2AD95"/>
    <w:rsid w:val="7DF53D76"/>
    <w:rsid w:val="7ECB440D"/>
    <w:rsid w:val="7EFC7B33"/>
    <w:rsid w:val="7F2FD0F2"/>
    <w:rsid w:val="7F8D73CF"/>
    <w:rsid w:val="7F97D97D"/>
    <w:rsid w:val="7FB31C77"/>
    <w:rsid w:val="7FEB0540"/>
    <w:rsid w:val="7FFB7932"/>
    <w:rsid w:val="8EDF33A4"/>
    <w:rsid w:val="8EF69E44"/>
    <w:rsid w:val="975DDF07"/>
    <w:rsid w:val="97A3359C"/>
    <w:rsid w:val="97FEB91A"/>
    <w:rsid w:val="9BFF1F3C"/>
    <w:rsid w:val="9FBBA16A"/>
    <w:rsid w:val="A5BE9291"/>
    <w:rsid w:val="A6DDBBEA"/>
    <w:rsid w:val="ADED6DB5"/>
    <w:rsid w:val="AFFF5DA6"/>
    <w:rsid w:val="B26CBE0C"/>
    <w:rsid w:val="B6F79905"/>
    <w:rsid w:val="B9D71EF4"/>
    <w:rsid w:val="BBC604D0"/>
    <w:rsid w:val="BD5F67EB"/>
    <w:rsid w:val="BE7BABA7"/>
    <w:rsid w:val="BFBF4B80"/>
    <w:rsid w:val="BFF14A67"/>
    <w:rsid w:val="C3D64C93"/>
    <w:rsid w:val="C5FF10F5"/>
    <w:rsid w:val="CF6E2FE0"/>
    <w:rsid w:val="DBFD9047"/>
    <w:rsid w:val="DC7F928F"/>
    <w:rsid w:val="DCF27E4F"/>
    <w:rsid w:val="DF57AAE5"/>
    <w:rsid w:val="DF7A4C81"/>
    <w:rsid w:val="DFBFEDF3"/>
    <w:rsid w:val="E07FA187"/>
    <w:rsid w:val="E1AFAD1F"/>
    <w:rsid w:val="E3DD569D"/>
    <w:rsid w:val="E5BC9E47"/>
    <w:rsid w:val="E9D30D4F"/>
    <w:rsid w:val="E9F50485"/>
    <w:rsid w:val="EBA5991A"/>
    <w:rsid w:val="EDB1DBF5"/>
    <w:rsid w:val="EEFE39D3"/>
    <w:rsid w:val="EEFF5946"/>
    <w:rsid w:val="EFEF4C73"/>
    <w:rsid w:val="F2AF98E8"/>
    <w:rsid w:val="F333F453"/>
    <w:rsid w:val="F3FD00FF"/>
    <w:rsid w:val="F3FE4E3E"/>
    <w:rsid w:val="F62F15A0"/>
    <w:rsid w:val="F8FFF1B5"/>
    <w:rsid w:val="FA7E0C26"/>
    <w:rsid w:val="FAD9B44F"/>
    <w:rsid w:val="FB16FA2E"/>
    <w:rsid w:val="FB7D9441"/>
    <w:rsid w:val="FB7F2896"/>
    <w:rsid w:val="FBE772C2"/>
    <w:rsid w:val="FBE907EF"/>
    <w:rsid w:val="FC7BE011"/>
    <w:rsid w:val="FCE747D6"/>
    <w:rsid w:val="FD7EB82D"/>
    <w:rsid w:val="FDC74A11"/>
    <w:rsid w:val="FDDD14A6"/>
    <w:rsid w:val="FE7FF403"/>
    <w:rsid w:val="FE8B0C35"/>
    <w:rsid w:val="FEBB056A"/>
    <w:rsid w:val="FEDF2BBA"/>
    <w:rsid w:val="FEE5F785"/>
    <w:rsid w:val="FEFEF9D5"/>
    <w:rsid w:val="FF2C088F"/>
    <w:rsid w:val="FF4665E8"/>
    <w:rsid w:val="FF6F921C"/>
    <w:rsid w:val="FF7690F0"/>
    <w:rsid w:val="FF7F5AF4"/>
    <w:rsid w:val="FF7F6A16"/>
    <w:rsid w:val="FFA5C76E"/>
    <w:rsid w:val="FFB7541F"/>
    <w:rsid w:val="FFBB5970"/>
    <w:rsid w:val="FFDAB3C3"/>
    <w:rsid w:val="FFFC34A2"/>
    <w:rsid w:val="FFFDD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link w:val="12"/>
    <w:qFormat/>
    <w:uiPriority w:val="0"/>
    <w:pPr>
      <w:snapToGrid w:val="0"/>
      <w:ind w:firstLine="630"/>
    </w:pPr>
    <w:rPr>
      <w:rFonts w:ascii="仿宋_GB2312" w:hAnsi="宋体" w:eastAsia="仿宋_GB2312"/>
      <w:sz w:val="36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2"/>
    <w:qFormat/>
    <w:uiPriority w:val="99"/>
    <w:rPr>
      <w:kern w:val="2"/>
      <w:sz w:val="18"/>
      <w:szCs w:val="18"/>
    </w:rPr>
  </w:style>
  <w:style w:type="character" w:customStyle="1" w:styleId="12">
    <w:name w:val="正文文本缩进 Char"/>
    <w:basedOn w:val="9"/>
    <w:link w:val="3"/>
    <w:qFormat/>
    <w:uiPriority w:val="0"/>
    <w:rPr>
      <w:rFonts w:ascii="仿宋_GB2312" w:hAnsi="宋体" w:eastAsia="仿宋_GB2312"/>
      <w:kern w:val="2"/>
      <w:sz w:val="36"/>
    </w:rPr>
  </w:style>
  <w:style w:type="character" w:customStyle="1" w:styleId="13">
    <w:name w:val="tcnt2"/>
    <w:basedOn w:val="9"/>
    <w:qFormat/>
    <w:uiPriority w:val="0"/>
  </w:style>
  <w:style w:type="paragraph" w:customStyle="1" w:styleId="1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15">
    <w:name w:val="样式1"/>
    <w:basedOn w:val="1"/>
    <w:qFormat/>
    <w:uiPriority w:val="0"/>
    <w:pPr>
      <w:ind w:right="-357" w:rightChars="-170"/>
    </w:pPr>
    <w:rPr>
      <w:rFonts w:ascii="仿宋_GB2312" w:hAnsi="黑体" w:eastAsia="仿宋_GB2312"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Body text|1"/>
    <w:basedOn w:val="1"/>
    <w:qFormat/>
    <w:uiPriority w:val="0"/>
    <w:pPr>
      <w:spacing w:line="37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hengpu</Company>
  <Pages>6</Pages>
  <Words>3078</Words>
  <Characters>185</Characters>
  <Lines>1</Lines>
  <Paragraphs>6</Paragraphs>
  <TotalTime>1</TotalTime>
  <ScaleCrop>false</ScaleCrop>
  <LinksUpToDate>false</LinksUpToDate>
  <CharactersWithSpaces>3257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2021-12-11T12:28:00Z</dcterms:created>
  <dc:creator>alang</dc:creator>
  <cp:lastModifiedBy>rst</cp:lastModifiedBy>
  <cp:lastPrinted>2022-05-16T13:43:00Z</cp:lastPrinted>
  <dcterms:modified xsi:type="dcterms:W3CDTF">2022-06-10T15:29:28Z</dcterms:modified>
  <dc:title>关于审定宁夏回族自治区2014年调整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